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5028" w14:textId="2BACD421" w:rsidR="00695C3A" w:rsidRDefault="00D412DF" w:rsidP="007E2E1B">
      <w:pPr>
        <w:spacing w:before="80"/>
        <w:ind w:left="7488"/>
        <w:rPr>
          <w:rFonts w:ascii="Arial MT"/>
          <w:sz w:val="14"/>
        </w:rPr>
      </w:pPr>
      <w:bookmarkStart w:id="0" w:name="_Hlk187077810"/>
      <w:r>
        <w:rPr>
          <w:noProof/>
          <w:color w:val="244061" w:themeColor="accent1" w:themeShade="80"/>
        </w:rPr>
        <mc:AlternateContent>
          <mc:Choice Requires="wps">
            <w:drawing>
              <wp:anchor distT="0" distB="0" distL="114300" distR="114300" simplePos="0" relativeHeight="251659264" behindDoc="0" locked="0" layoutInCell="1" allowOverlap="1" wp14:anchorId="173B0F54" wp14:editId="295AED26">
                <wp:simplePos x="0" y="0"/>
                <wp:positionH relativeFrom="margin">
                  <wp:posOffset>-6350</wp:posOffset>
                </wp:positionH>
                <wp:positionV relativeFrom="paragraph">
                  <wp:posOffset>-336550</wp:posOffset>
                </wp:positionV>
                <wp:extent cx="4400550" cy="133350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0" cy="1333500"/>
                        </a:xfrm>
                        <a:prstGeom prst="rect">
                          <a:avLst/>
                        </a:prstGeom>
                        <a:solidFill>
                          <a:schemeClr val="lt1"/>
                        </a:solidFill>
                        <a:ln w="6350">
                          <a:noFill/>
                        </a:ln>
                      </wps:spPr>
                      <wps:txbx>
                        <w:txbxContent>
                          <w:p w14:paraId="1569AA07" w14:textId="7B803ED8" w:rsidR="00637E6C" w:rsidRDefault="00637E6C" w:rsidP="00CF4B60">
                            <w:r>
                              <w:rPr>
                                <w:noProof/>
                              </w:rPr>
                              <w:drawing>
                                <wp:inline distT="0" distB="0" distL="0" distR="0" wp14:anchorId="050D4AD9" wp14:editId="680CDBFD">
                                  <wp:extent cx="1929610" cy="127635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869" cy="12818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B0F54" id="_x0000_t202" coordsize="21600,21600" o:spt="202" path="m,l,21600r21600,l21600,xe">
                <v:stroke joinstyle="miter"/>
                <v:path gradientshapeok="t" o:connecttype="rect"/>
              </v:shapetype>
              <v:shape id="Text Box 4" o:spid="_x0000_s1026" type="#_x0000_t202" style="position:absolute;left:0;text-align:left;margin-left:-.5pt;margin-top:-26.5pt;width:346.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" fillcolor="white [3201]" stroked="f" strokeweight=".5pt">
                <v:textbox>
                  <w:txbxContent>
                    <w:p w14:paraId="1569AA07" w14:textId="7B803ED8" w:rsidR="00637E6C" w:rsidRDefault="00637E6C" w:rsidP="00CF4B60">
                      <w:r>
                        <w:rPr>
                          <w:noProof/>
                        </w:rPr>
                        <w:drawing>
                          <wp:inline distT="0" distB="0" distL="0" distR="0" wp14:anchorId="050D4AD9" wp14:editId="680CDBFD">
                            <wp:extent cx="1929610" cy="127635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7869" cy="1281813"/>
                                    </a:xfrm>
                                    <a:prstGeom prst="rect">
                                      <a:avLst/>
                                    </a:prstGeom>
                                    <a:noFill/>
                                    <a:ln>
                                      <a:noFill/>
                                    </a:ln>
                                  </pic:spPr>
                                </pic:pic>
                              </a:graphicData>
                            </a:graphic>
                          </wp:inline>
                        </w:drawing>
                      </w:r>
                    </w:p>
                  </w:txbxContent>
                </v:textbox>
                <w10:wrap anchorx="margin"/>
              </v:shape>
            </w:pict>
          </mc:Fallback>
        </mc:AlternateContent>
      </w:r>
      <w:r w:rsidR="007E2E1B" w:rsidRPr="00DB3534">
        <w:rPr>
          <w:rFonts w:ascii="Arial MT"/>
          <w:b/>
          <w:bCs/>
          <w:noProof/>
          <w:color w:val="808080" w:themeColor="background1" w:themeShade="80"/>
          <w:sz w:val="14"/>
        </w:rPr>
        <mc:AlternateContent>
          <mc:Choice Requires="wps">
            <w:drawing>
              <wp:anchor distT="0" distB="0" distL="0" distR="0" simplePos="0" relativeHeight="251631616" behindDoc="0" locked="0" layoutInCell="1" allowOverlap="1" wp14:anchorId="60537EFA" wp14:editId="79CBA8D6">
                <wp:simplePos x="0" y="0"/>
                <wp:positionH relativeFrom="page">
                  <wp:posOffset>5253990</wp:posOffset>
                </wp:positionH>
                <wp:positionV relativeFrom="paragraph">
                  <wp:posOffset>80645</wp:posOffset>
                </wp:positionV>
                <wp:extent cx="3810" cy="383540"/>
                <wp:effectExtent l="0" t="0" r="3429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 cy="383540"/>
                        </a:xfrm>
                        <a:custGeom>
                          <a:avLst/>
                          <a:gdLst/>
                          <a:ahLst/>
                          <a:cxnLst/>
                          <a:rect l="l" t="t" r="r" b="b"/>
                          <a:pathLst>
                            <a:path w="3810" h="383540">
                              <a:moveTo>
                                <a:pt x="3599" y="0"/>
                              </a:moveTo>
                              <a:lnTo>
                                <a:pt x="0" y="0"/>
                              </a:lnTo>
                              <a:lnTo>
                                <a:pt x="0" y="383044"/>
                              </a:lnTo>
                              <a:lnTo>
                                <a:pt x="3599" y="383044"/>
                              </a:lnTo>
                              <a:lnTo>
                                <a:pt x="3599" y="0"/>
                              </a:lnTo>
                              <a:close/>
                            </a:path>
                          </a:pathLst>
                        </a:custGeom>
                        <a:solidFill>
                          <a:srgbClr val="A2A3A3"/>
                        </a:solidFill>
                      </wps:spPr>
                      <wps:bodyPr wrap="square" lIns="0" tIns="0" rIns="0" bIns="0" rtlCol="0">
                        <a:prstTxWarp prst="textNoShape">
                          <a:avLst/>
                        </a:prstTxWarp>
                        <a:noAutofit/>
                      </wps:bodyPr>
                    </wps:wsp>
                  </a:graphicData>
                </a:graphic>
              </wp:anchor>
            </w:drawing>
          </mc:Choice>
          <mc:Fallback>
            <w:pict>
              <v:shape w14:anchorId="5B96A6A7" id="Freeform: Shape 1" o:spid="_x0000_s1026" style="position:absolute;margin-left:413.7pt;margin-top:6.35pt;width:.3pt;height:30.2pt;z-index:251631616;visibility:visible;mso-wrap-style:square;mso-wrap-distance-left:0;mso-wrap-distance-top:0;mso-wrap-distance-right:0;mso-wrap-distance-bottom:0;mso-position-horizontal:absolute;mso-position-horizontal-relative:page;mso-position-vertical:absolute;mso-position-vertical-relative:text;v-text-anchor:top" coordsize="3810,38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" path="m3599,l,,,383044r3599,l3599,xe" fillcolor="#a2a3a3" stroked="f">
                <v:path arrowok="t"/>
                <w10:wrap anchorx="page"/>
              </v:shape>
            </w:pict>
          </mc:Fallback>
        </mc:AlternateContent>
      </w:r>
      <w:r w:rsidRPr="00915560">
        <w:rPr>
          <w:rFonts w:ascii="Calibri" w:hAnsi="Calibri" w:cs="Calibri"/>
          <w:b/>
          <w:bCs/>
          <w:color w:val="A2A3A3"/>
          <w:sz w:val="16"/>
          <w:szCs w:val="16"/>
        </w:rPr>
        <w:t>VOLUME</w:t>
      </w:r>
      <w:r w:rsidR="00D473EC" w:rsidRPr="00DB3534">
        <w:rPr>
          <w:rFonts w:ascii="Arial MT"/>
          <w:color w:val="808080" w:themeColor="background1" w:themeShade="80"/>
          <w:spacing w:val="5"/>
          <w:sz w:val="11"/>
        </w:rPr>
        <w:t xml:space="preserve"> </w:t>
      </w:r>
      <w:r w:rsidRPr="00915560">
        <w:rPr>
          <w:rFonts w:ascii="Calibri" w:hAnsi="Calibri" w:cs="Calibri"/>
          <w:color w:val="000000" w:themeColor="text1"/>
          <w:sz w:val="16"/>
          <w:szCs w:val="16"/>
        </w:rPr>
        <w:t>Vol.0</w:t>
      </w:r>
      <w:r>
        <w:rPr>
          <w:rFonts w:ascii="Calibri" w:hAnsi="Calibri" w:cs="Calibri"/>
          <w:color w:val="000000" w:themeColor="text1"/>
          <w:sz w:val="16"/>
          <w:szCs w:val="16"/>
        </w:rPr>
        <w:t>5</w:t>
      </w:r>
      <w:r w:rsidRPr="00915560">
        <w:rPr>
          <w:rFonts w:ascii="Calibri" w:hAnsi="Calibri" w:cs="Calibri"/>
          <w:color w:val="000000" w:themeColor="text1"/>
          <w:sz w:val="16"/>
          <w:szCs w:val="16"/>
        </w:rPr>
        <w:t xml:space="preserve"> Issue</w:t>
      </w:r>
      <w:r w:rsidR="00094488">
        <w:rPr>
          <w:rFonts w:ascii="Calibri" w:hAnsi="Calibri" w:cs="Calibri"/>
          <w:color w:val="000000" w:themeColor="text1"/>
          <w:sz w:val="16"/>
          <w:szCs w:val="16"/>
        </w:rPr>
        <w:t xml:space="preserve"> </w:t>
      </w:r>
      <w:r w:rsidR="00AC1BEF">
        <w:rPr>
          <w:rFonts w:ascii="Calibri" w:hAnsi="Calibri" w:cs="Calibri"/>
          <w:color w:val="000000" w:themeColor="text1"/>
          <w:sz w:val="16"/>
          <w:szCs w:val="16"/>
        </w:rPr>
        <w:t>0</w:t>
      </w:r>
      <w:r w:rsidR="00C6576A">
        <w:rPr>
          <w:rFonts w:ascii="Calibri" w:hAnsi="Calibri" w:cs="Calibri"/>
          <w:color w:val="000000" w:themeColor="text1"/>
          <w:sz w:val="16"/>
          <w:szCs w:val="16"/>
        </w:rPr>
        <w:t>9</w:t>
      </w:r>
      <w:r w:rsidRPr="00915560">
        <w:rPr>
          <w:rFonts w:ascii="Calibri" w:hAnsi="Calibri" w:cs="Calibri"/>
          <w:color w:val="000000" w:themeColor="text1"/>
          <w:sz w:val="16"/>
          <w:szCs w:val="16"/>
        </w:rPr>
        <w:t xml:space="preserve"> 202</w:t>
      </w:r>
      <w:r>
        <w:rPr>
          <w:rFonts w:ascii="Calibri" w:hAnsi="Calibri" w:cs="Calibri"/>
          <w:color w:val="000000" w:themeColor="text1"/>
          <w:sz w:val="16"/>
          <w:szCs w:val="16"/>
        </w:rPr>
        <w:t>5</w:t>
      </w:r>
    </w:p>
    <w:p w14:paraId="3E50F290" w14:textId="6DBF4B91" w:rsidR="00695C3A" w:rsidRDefault="006D4EB0" w:rsidP="007E2E1B">
      <w:pPr>
        <w:spacing w:before="18"/>
        <w:ind w:left="7488"/>
        <w:rPr>
          <w:rFonts w:ascii="Arial MT"/>
          <w:sz w:val="14"/>
        </w:rPr>
      </w:pPr>
      <w:r>
        <w:rPr>
          <w:rFonts w:ascii="Calibri" w:hAnsi="Calibri" w:cs="Calibri"/>
          <w:b/>
          <w:bCs/>
          <w:color w:val="A2A3A3"/>
          <w:sz w:val="16"/>
          <w:szCs w:val="16"/>
        </w:rPr>
        <w:t>PAGE NO.</w:t>
      </w:r>
      <w:r w:rsidR="00D06C84" w:rsidRPr="00915560">
        <w:rPr>
          <w:rFonts w:ascii="Calibri" w:hAnsi="Calibri" w:cs="Calibri"/>
          <w:b/>
          <w:bCs/>
          <w:color w:val="A2A3A3"/>
          <w:sz w:val="16"/>
          <w:szCs w:val="16"/>
        </w:rPr>
        <w:t xml:space="preserve"> </w:t>
      </w:r>
      <w:r w:rsidR="00D76219">
        <w:rPr>
          <w:rFonts w:ascii="Calibri" w:hAnsi="Calibri" w:cs="Calibri"/>
          <w:color w:val="000000" w:themeColor="text1"/>
          <w:sz w:val="16"/>
          <w:szCs w:val="16"/>
        </w:rPr>
        <w:t>94</w:t>
      </w:r>
      <w:r w:rsidR="00C6576A">
        <w:rPr>
          <w:rFonts w:ascii="Calibri" w:hAnsi="Calibri" w:cs="Calibri"/>
          <w:color w:val="000000" w:themeColor="text1"/>
          <w:sz w:val="16"/>
          <w:szCs w:val="16"/>
        </w:rPr>
        <w:t>-</w:t>
      </w:r>
      <w:r w:rsidR="00D76219">
        <w:rPr>
          <w:rFonts w:ascii="Calibri" w:hAnsi="Calibri" w:cs="Calibri"/>
          <w:color w:val="000000" w:themeColor="text1"/>
          <w:sz w:val="16"/>
          <w:szCs w:val="16"/>
        </w:rPr>
        <w:t>102</w:t>
      </w:r>
    </w:p>
    <w:p w14:paraId="42764498" w14:textId="7DC2A247" w:rsidR="00AC1BEF" w:rsidRDefault="00AC1BEF" w:rsidP="00AC1BEF">
      <w:pPr>
        <w:spacing w:before="18"/>
        <w:ind w:left="7488"/>
        <w:rPr>
          <w:rFonts w:ascii="Arial MT"/>
          <w:sz w:val="20"/>
        </w:rPr>
      </w:pPr>
    </w:p>
    <w:p w14:paraId="4E326398" w14:textId="621346AB" w:rsidR="00695C3A" w:rsidRDefault="00695C3A">
      <w:pPr>
        <w:pStyle w:val="BodyText"/>
        <w:rPr>
          <w:rFonts w:ascii="Arial MT"/>
          <w:sz w:val="20"/>
        </w:rPr>
      </w:pPr>
    </w:p>
    <w:bookmarkEnd w:id="0"/>
    <w:p w14:paraId="7E239907" w14:textId="77C6A88F" w:rsidR="00695C3A" w:rsidRDefault="00695C3A">
      <w:pPr>
        <w:pStyle w:val="BodyText"/>
        <w:rPr>
          <w:rFonts w:ascii="Arial MT"/>
          <w:sz w:val="20"/>
        </w:rPr>
      </w:pPr>
    </w:p>
    <w:p w14:paraId="36B2A771" w14:textId="77777777" w:rsidR="00695C3A" w:rsidRDefault="00695C3A">
      <w:pPr>
        <w:pStyle w:val="BodyText"/>
        <w:rPr>
          <w:rFonts w:ascii="Arial MT"/>
          <w:sz w:val="20"/>
        </w:rPr>
      </w:pPr>
    </w:p>
    <w:p w14:paraId="2362D5C9" w14:textId="77777777" w:rsidR="00695C3A" w:rsidRDefault="00695C3A">
      <w:pPr>
        <w:pStyle w:val="BodyText"/>
        <w:rPr>
          <w:rFonts w:ascii="Arial MT"/>
          <w:sz w:val="20"/>
        </w:rPr>
        <w:sectPr w:rsidR="00695C3A" w:rsidSect="00D76219">
          <w:footerReference w:type="default" r:id="rId9"/>
          <w:type w:val="continuous"/>
          <w:pgSz w:w="11910" w:h="16840"/>
          <w:pgMar w:top="580" w:right="850" w:bottom="820" w:left="850" w:header="0" w:footer="632" w:gutter="0"/>
          <w:pgNumType w:start="94"/>
          <w:cols w:space="720"/>
        </w:sectPr>
      </w:pPr>
    </w:p>
    <w:p w14:paraId="21B0349F" w14:textId="77777777" w:rsidR="00695C3A" w:rsidRDefault="00695C3A">
      <w:pPr>
        <w:pStyle w:val="BodyText"/>
        <w:spacing w:before="2"/>
        <w:rPr>
          <w:rFonts w:ascii="Arial MT"/>
          <w:sz w:val="15"/>
        </w:rPr>
      </w:pPr>
    </w:p>
    <w:p w14:paraId="7B5712D6" w14:textId="77777777" w:rsidR="004172BD" w:rsidRDefault="004172BD" w:rsidP="008F5DFC">
      <w:pPr>
        <w:pStyle w:val="BodyText"/>
        <w:rPr>
          <w:rFonts w:ascii="Arial MT"/>
          <w:sz w:val="20"/>
        </w:rPr>
        <w:sectPr w:rsidR="004172BD" w:rsidSect="004172BD">
          <w:headerReference w:type="default" r:id="rId10"/>
          <w:footerReference w:type="default" r:id="rId11"/>
          <w:type w:val="continuous"/>
          <w:pgSz w:w="11910" w:h="16840"/>
          <w:pgMar w:top="580" w:right="850" w:bottom="820" w:left="850" w:header="720" w:footer="632" w:gutter="0"/>
          <w:cols w:space="720"/>
          <w:docGrid w:linePitch="299"/>
        </w:sectPr>
      </w:pPr>
    </w:p>
    <w:p w14:paraId="0B3CA6C8" w14:textId="5AA25AFD" w:rsidR="00695C3A" w:rsidRDefault="00AC1BEF" w:rsidP="00C25079">
      <w:pPr>
        <w:pStyle w:val="Title"/>
        <w:spacing w:line="247" w:lineRule="auto"/>
        <w:rPr>
          <w:rFonts w:ascii="Palatino Linotype" w:hAnsi="Palatino Linotype" w:cs="Calibri"/>
          <w:b/>
          <w:bCs/>
          <w:color w:val="272727"/>
          <w:w w:val="105"/>
          <w:sz w:val="36"/>
          <w:szCs w:val="36"/>
        </w:rPr>
      </w:pPr>
      <w:r w:rsidRPr="00AC1BEF">
        <w:rPr>
          <w:rFonts w:ascii="Palatino Linotype" w:hAnsi="Palatino Linotype" w:cs="Calibri"/>
          <w:b/>
          <w:bCs/>
          <w:color w:val="272727"/>
          <w:w w:val="105"/>
          <w:sz w:val="36"/>
          <w:szCs w:val="36"/>
        </w:rPr>
        <w:t>Cloud GPU Architectures for Modern AI Training Workloads: Efficiency, Scalability, and Cost Analysis</w:t>
      </w:r>
    </w:p>
    <w:p w14:paraId="4DEFB933" w14:textId="77777777" w:rsidR="00C25079" w:rsidRDefault="00C25079" w:rsidP="006A4542">
      <w:pPr>
        <w:pStyle w:val="Title"/>
        <w:spacing w:line="247" w:lineRule="auto"/>
        <w:rPr>
          <w:rFonts w:ascii="Palatino Linotype" w:hAnsi="Palatino Linotype"/>
          <w:sz w:val="20"/>
          <w:szCs w:val="20"/>
        </w:rPr>
      </w:pPr>
    </w:p>
    <w:p w14:paraId="10454888" w14:textId="3970DA77" w:rsidR="00D412DF" w:rsidRPr="00D412DF" w:rsidRDefault="00AC1BEF" w:rsidP="006A4542">
      <w:pPr>
        <w:pStyle w:val="Title"/>
        <w:spacing w:line="247" w:lineRule="auto"/>
        <w:rPr>
          <w:rFonts w:ascii="Palatino Linotype" w:hAnsi="Palatino Linotype" w:cs="Calibri"/>
          <w:b/>
          <w:bCs/>
          <w:color w:val="272727"/>
          <w:w w:val="105"/>
          <w:sz w:val="20"/>
          <w:szCs w:val="20"/>
        </w:rPr>
      </w:pPr>
      <w:r w:rsidRPr="00AC1BEF">
        <w:rPr>
          <w:rFonts w:ascii="Palatino Linotype" w:hAnsi="Palatino Linotype"/>
          <w:sz w:val="20"/>
          <w:szCs w:val="20"/>
        </w:rPr>
        <w:t>Adekunle Adebayo</w:t>
      </w:r>
    </w:p>
    <w:p w14:paraId="2A398D66" w14:textId="0552139E" w:rsidR="00760FB8" w:rsidRDefault="00AC1BEF" w:rsidP="00AC1BEF">
      <w:pPr>
        <w:tabs>
          <w:tab w:val="left" w:pos="530"/>
        </w:tabs>
        <w:spacing w:before="76"/>
        <w:ind w:left="144" w:right="115"/>
        <w:rPr>
          <w:sz w:val="18"/>
        </w:rPr>
      </w:pPr>
      <w:r w:rsidRPr="00AC1BEF">
        <w:rPr>
          <w:sz w:val="18"/>
        </w:rPr>
        <w:t>Independent Researcher, Nigeria</w:t>
      </w:r>
    </w:p>
    <w:p w14:paraId="784CBCFA" w14:textId="32FAB7DC" w:rsidR="006F4348" w:rsidRDefault="006F4348" w:rsidP="005F1BC0">
      <w:pPr>
        <w:tabs>
          <w:tab w:val="left" w:pos="530"/>
        </w:tabs>
        <w:spacing w:before="76"/>
        <w:ind w:left="144" w:right="115"/>
        <w:rPr>
          <w:sz w:val="18"/>
        </w:rPr>
      </w:pPr>
    </w:p>
    <w:p w14:paraId="2113B786" w14:textId="1409CDF4" w:rsidR="006A4542" w:rsidRPr="00D412DF" w:rsidRDefault="00D412DF" w:rsidP="006A4542">
      <w:pPr>
        <w:spacing w:before="115" w:line="268" w:lineRule="auto"/>
        <w:ind w:left="142" w:right="121"/>
        <w:rPr>
          <w:spacing w:val="-4"/>
          <w:sz w:val="20"/>
          <w:szCs w:val="20"/>
        </w:rPr>
      </w:pPr>
      <w:r w:rsidRPr="00D412DF">
        <w:rPr>
          <w:b/>
          <w:bCs/>
          <w:sz w:val="20"/>
          <w:szCs w:val="20"/>
        </w:rPr>
        <w:t>Received:</w:t>
      </w:r>
      <w:r w:rsidRPr="00D412DF">
        <w:rPr>
          <w:spacing w:val="10"/>
          <w:sz w:val="20"/>
          <w:szCs w:val="20"/>
        </w:rPr>
        <w:t xml:space="preserve"> </w:t>
      </w:r>
      <w:r w:rsidR="00D76219">
        <w:rPr>
          <w:sz w:val="20"/>
          <w:szCs w:val="20"/>
        </w:rPr>
        <w:t>01</w:t>
      </w:r>
      <w:r w:rsidRPr="00D412DF">
        <w:rPr>
          <w:spacing w:val="-5"/>
          <w:sz w:val="20"/>
          <w:szCs w:val="20"/>
        </w:rPr>
        <w:t xml:space="preserve"> </w:t>
      </w:r>
      <w:r w:rsidR="00C6576A">
        <w:rPr>
          <w:sz w:val="20"/>
          <w:szCs w:val="20"/>
        </w:rPr>
        <w:t>S</w:t>
      </w:r>
      <w:r w:rsidR="00C6576A" w:rsidRPr="00C6576A">
        <w:rPr>
          <w:sz w:val="20"/>
          <w:szCs w:val="20"/>
        </w:rPr>
        <w:t>eptember</w:t>
      </w:r>
      <w:r w:rsidR="00EA0166" w:rsidRPr="00D412DF">
        <w:rPr>
          <w:spacing w:val="-5"/>
          <w:sz w:val="20"/>
          <w:szCs w:val="20"/>
        </w:rPr>
        <w:t xml:space="preserve"> </w:t>
      </w:r>
      <w:r w:rsidRPr="00D412DF">
        <w:rPr>
          <w:sz w:val="20"/>
          <w:szCs w:val="20"/>
        </w:rPr>
        <w:t>202</w:t>
      </w:r>
      <w:r w:rsidR="001E3B17">
        <w:rPr>
          <w:sz w:val="20"/>
          <w:szCs w:val="20"/>
        </w:rPr>
        <w:t>5</w:t>
      </w:r>
      <w:r w:rsidRPr="00D412DF">
        <w:rPr>
          <w:sz w:val="20"/>
          <w:szCs w:val="20"/>
        </w:rPr>
        <w:t>;</w:t>
      </w:r>
      <w:r w:rsidRPr="00D412DF">
        <w:rPr>
          <w:spacing w:val="-5"/>
          <w:sz w:val="20"/>
          <w:szCs w:val="20"/>
        </w:rPr>
        <w:t xml:space="preserve"> </w:t>
      </w:r>
      <w:r w:rsidRPr="00D412DF">
        <w:rPr>
          <w:b/>
          <w:bCs/>
          <w:sz w:val="20"/>
          <w:szCs w:val="20"/>
        </w:rPr>
        <w:t>Accepted:</w:t>
      </w:r>
      <w:r w:rsidRPr="00D412DF">
        <w:rPr>
          <w:spacing w:val="10"/>
          <w:sz w:val="20"/>
          <w:szCs w:val="20"/>
        </w:rPr>
        <w:t xml:space="preserve"> </w:t>
      </w:r>
      <w:r w:rsidR="00D76219">
        <w:rPr>
          <w:sz w:val="20"/>
          <w:szCs w:val="20"/>
        </w:rPr>
        <w:t>1</w:t>
      </w:r>
      <w:r w:rsidR="00E34BC5">
        <w:rPr>
          <w:sz w:val="20"/>
          <w:szCs w:val="20"/>
        </w:rPr>
        <w:t>5</w:t>
      </w:r>
      <w:r w:rsidRPr="00D412DF">
        <w:rPr>
          <w:spacing w:val="-5"/>
          <w:sz w:val="20"/>
          <w:szCs w:val="20"/>
        </w:rPr>
        <w:t xml:space="preserve"> </w:t>
      </w:r>
      <w:r w:rsidR="00C6576A">
        <w:rPr>
          <w:sz w:val="20"/>
          <w:szCs w:val="20"/>
        </w:rPr>
        <w:t>S</w:t>
      </w:r>
      <w:r w:rsidR="00C6576A" w:rsidRPr="00C6576A">
        <w:rPr>
          <w:sz w:val="20"/>
          <w:szCs w:val="20"/>
        </w:rPr>
        <w:t>eptember</w:t>
      </w:r>
      <w:r w:rsidR="00EA0166" w:rsidRPr="00D412DF">
        <w:rPr>
          <w:spacing w:val="-5"/>
          <w:sz w:val="20"/>
          <w:szCs w:val="20"/>
        </w:rPr>
        <w:t xml:space="preserve"> </w:t>
      </w:r>
      <w:r w:rsidRPr="00D412DF">
        <w:rPr>
          <w:sz w:val="20"/>
          <w:szCs w:val="20"/>
        </w:rPr>
        <w:t>202</w:t>
      </w:r>
      <w:r w:rsidR="00A407A9">
        <w:rPr>
          <w:sz w:val="20"/>
          <w:szCs w:val="20"/>
        </w:rPr>
        <w:t>5</w:t>
      </w:r>
      <w:r w:rsidRPr="00D412DF">
        <w:rPr>
          <w:sz w:val="20"/>
          <w:szCs w:val="20"/>
        </w:rPr>
        <w:t>;</w:t>
      </w:r>
      <w:r w:rsidRPr="00D412DF">
        <w:rPr>
          <w:spacing w:val="-5"/>
          <w:sz w:val="20"/>
          <w:szCs w:val="20"/>
        </w:rPr>
        <w:t xml:space="preserve"> </w:t>
      </w:r>
      <w:r w:rsidRPr="00D412DF">
        <w:rPr>
          <w:b/>
          <w:bCs/>
          <w:sz w:val="20"/>
          <w:szCs w:val="20"/>
        </w:rPr>
        <w:t>Published:</w:t>
      </w:r>
      <w:r w:rsidRPr="00D412DF">
        <w:rPr>
          <w:spacing w:val="11"/>
          <w:sz w:val="20"/>
          <w:szCs w:val="20"/>
        </w:rPr>
        <w:t xml:space="preserve"> </w:t>
      </w:r>
      <w:r w:rsidR="00D76219">
        <w:rPr>
          <w:sz w:val="20"/>
          <w:szCs w:val="20"/>
        </w:rPr>
        <w:t>30</w:t>
      </w:r>
      <w:r w:rsidRPr="00D412DF">
        <w:rPr>
          <w:spacing w:val="-6"/>
          <w:sz w:val="20"/>
          <w:szCs w:val="20"/>
        </w:rPr>
        <w:t xml:space="preserve"> </w:t>
      </w:r>
      <w:r w:rsidR="00C6576A">
        <w:rPr>
          <w:sz w:val="20"/>
          <w:szCs w:val="20"/>
        </w:rPr>
        <w:t>S</w:t>
      </w:r>
      <w:r w:rsidR="00C6576A" w:rsidRPr="00C6576A">
        <w:rPr>
          <w:sz w:val="20"/>
          <w:szCs w:val="20"/>
        </w:rPr>
        <w:t>eptember</w:t>
      </w:r>
      <w:r w:rsidRPr="00D412DF">
        <w:rPr>
          <w:spacing w:val="-5"/>
          <w:sz w:val="20"/>
          <w:szCs w:val="20"/>
        </w:rPr>
        <w:t xml:space="preserve"> </w:t>
      </w:r>
      <w:r w:rsidRPr="00D412DF">
        <w:rPr>
          <w:spacing w:val="-4"/>
          <w:sz w:val="20"/>
          <w:szCs w:val="20"/>
        </w:rPr>
        <w:t>202</w:t>
      </w:r>
      <w:r w:rsidR="00C25079">
        <w:rPr>
          <w:spacing w:val="-4"/>
          <w:sz w:val="20"/>
          <w:szCs w:val="20"/>
        </w:rPr>
        <w:t>5</w:t>
      </w:r>
    </w:p>
    <w:p w14:paraId="1D9D9CA2" w14:textId="7EB44AD2" w:rsidR="00D412DF" w:rsidRPr="00915560" w:rsidRDefault="00325FC3" w:rsidP="00325FC3">
      <w:pPr>
        <w:tabs>
          <w:tab w:val="left" w:pos="6030"/>
        </w:tabs>
        <w:spacing w:before="115" w:line="268" w:lineRule="auto"/>
        <w:ind w:right="121"/>
        <w:rPr>
          <w:rFonts w:ascii="Calibri" w:hAnsi="Calibri" w:cs="Calibri"/>
          <w:sz w:val="16"/>
          <w:szCs w:val="16"/>
        </w:rPr>
      </w:pPr>
      <w:r>
        <w:rPr>
          <w:rFonts w:ascii="Calibri" w:hAnsi="Calibri" w:cs="Calibri"/>
          <w:sz w:val="16"/>
          <w:szCs w:val="16"/>
        </w:rPr>
        <w:tab/>
      </w:r>
    </w:p>
    <w:p w14:paraId="78525D6F" w14:textId="783A00E2" w:rsidR="00AD2800" w:rsidRPr="00AD2800" w:rsidRDefault="00B32310" w:rsidP="002C2FFE">
      <w:pPr>
        <w:jc w:val="both"/>
        <w:rPr>
          <w:rFonts w:asciiTheme="minorHAnsi" w:hAnsiTheme="minorHAnsi" w:cstheme="minorHAnsi"/>
        </w:rPr>
      </w:pPr>
      <w:r w:rsidRPr="00285C6C">
        <w:rPr>
          <w:rFonts w:asciiTheme="minorHAnsi" w:hAnsiTheme="minorHAnsi" w:cstheme="minorHAnsi"/>
          <w:b/>
          <w:bCs/>
        </w:rPr>
        <w:t>Abstract:</w:t>
      </w:r>
      <w:r w:rsidR="00FB15F3" w:rsidRPr="00FB15F3">
        <w:t xml:space="preserve"> </w:t>
      </w:r>
      <w:r w:rsidR="00AC1BEF" w:rsidRPr="00AC1BEF">
        <w:rPr>
          <w:rFonts w:asciiTheme="minorHAnsi" w:hAnsiTheme="minorHAnsi" w:cstheme="minorHAnsi"/>
        </w:rPr>
        <w:t xml:space="preserve">The exponential growth of Artificial Intelligence (AI) models, particularly Large Language Models (LLMs) and complex deep neural networks, has fundamentally transformed the landscape of computational demand. Modern AI training workloads require unprecedented levels of processing power, memory bandwidth, and inter-node communication, pushing traditional CPU-centric infrastructure past its breaking point. This paper examines the critical role of Cloud GPU architectures in meeting these demands, focusing on three core performance metrics: Efficiency, Scalability, and Cost Analysis. Through a comprehensive literature review and comparative analysis, we dissect the architectural features of contemporary cloud-hosted Graphics Processing Units (GPUs)—including specialized cores (e.g., Tensor Cores), High-Bandwidth Memory (HBM), and high-speed interconnect technologies like </w:t>
      </w:r>
      <w:proofErr w:type="spellStart"/>
      <w:r w:rsidR="00AC1BEF" w:rsidRPr="00AC1BEF">
        <w:rPr>
          <w:rFonts w:asciiTheme="minorHAnsi" w:hAnsiTheme="minorHAnsi" w:cstheme="minorHAnsi"/>
        </w:rPr>
        <w:t>NVLink</w:t>
      </w:r>
      <w:proofErr w:type="spellEnd"/>
      <w:r w:rsidR="00AC1BEF" w:rsidRPr="00AC1BEF">
        <w:rPr>
          <w:rFonts w:asciiTheme="minorHAnsi" w:hAnsiTheme="minorHAnsi" w:cstheme="minorHAnsi"/>
        </w:rPr>
        <w:t xml:space="preserve"> and InfiniBand (</w:t>
      </w:r>
      <w:proofErr w:type="spellStart"/>
      <w:r w:rsidR="00AC1BEF" w:rsidRPr="00AC1BEF">
        <w:rPr>
          <w:rFonts w:asciiTheme="minorHAnsi" w:hAnsiTheme="minorHAnsi" w:cstheme="minorHAnsi"/>
        </w:rPr>
        <w:t>Madiajagan</w:t>
      </w:r>
      <w:proofErr w:type="spellEnd"/>
      <w:r w:rsidR="00AC1BEF" w:rsidRPr="00AC1BEF">
        <w:rPr>
          <w:rFonts w:asciiTheme="minorHAnsi" w:hAnsiTheme="minorHAnsi" w:cstheme="minorHAnsi"/>
        </w:rPr>
        <w:t xml:space="preserve"> &amp; Raj, 2019). We establish that the parallel processing capabilities of GPUs, initially designed for graphics rendering, have become the cornerstone of deep learning acceleration (Baji, 2017). Furthermore, we explore the challenges and solutions related to scaling these architectures in a distributed cloud environment, examining software layers like compiler optimization (Tianqi Chen et al., 2018), distributed frameworks (Shen Li et al., 2020), and efficient job scheduling (Xiao et al., 2018). Finally, a thorough Total Cost of Ownership (TCO) analysis is performed, comparing the Capital Expenditure (</w:t>
      </w:r>
      <w:proofErr w:type="spellStart"/>
      <w:r w:rsidR="00AC1BEF" w:rsidRPr="00AC1BEF">
        <w:rPr>
          <w:rFonts w:asciiTheme="minorHAnsi" w:hAnsiTheme="minorHAnsi" w:cstheme="minorHAnsi"/>
        </w:rPr>
        <w:t>CapEx</w:t>
      </w:r>
      <w:proofErr w:type="spellEnd"/>
      <w:r w:rsidR="00AC1BEF" w:rsidRPr="00AC1BEF">
        <w:rPr>
          <w:rFonts w:asciiTheme="minorHAnsi" w:hAnsiTheme="minorHAnsi" w:cstheme="minorHAnsi"/>
        </w:rPr>
        <w:t>) model of on-premises GPU clusters against the Operational Expenditure (</w:t>
      </w:r>
      <w:proofErr w:type="spellStart"/>
      <w:r w:rsidR="00AC1BEF" w:rsidRPr="00AC1BEF">
        <w:rPr>
          <w:rFonts w:asciiTheme="minorHAnsi" w:hAnsiTheme="minorHAnsi" w:cstheme="minorHAnsi"/>
        </w:rPr>
        <w:t>OpEx</w:t>
      </w:r>
      <w:proofErr w:type="spellEnd"/>
      <w:r w:rsidR="00AC1BEF" w:rsidRPr="00AC1BEF">
        <w:rPr>
          <w:rFonts w:asciiTheme="minorHAnsi" w:hAnsiTheme="minorHAnsi" w:cstheme="minorHAnsi"/>
        </w:rPr>
        <w:t>) model of cloud services, revealing critical economic thresholds for sustained, high-utilization AI training (Manav Madan et al., 2021). The findings demonstrate that while cloud platforms offer unparalleled elasticity and access to cutting-edge hardware (Gupta, 2021), achieving optimal efficiency and cost-effectiveness requires meticulous workload characterization, precision tuning (e.g., mixed precision training), and the strategic use of high-throughput storage architectures (Huawei, 2025). The architectural shift toward specialized accelerators and in-memory computation is also considered, suggesting a future hybrid landscape where GPUs remain central but are augmented by purpose-built silicon to address specific training bottlenecks and improve energy efficiency (Albert Reuther et al., 2019; Jintao Zhang et al., 2017). This analysis provides researchers and infrastructure planners with a definitive framework for selecting, optimizing, and budgeting for the computational resources required by modern AI training workloads.</w:t>
      </w:r>
    </w:p>
    <w:p w14:paraId="6D83B61E" w14:textId="70EE8AF7" w:rsidR="00B32310" w:rsidRDefault="00B32310" w:rsidP="00AC1BEF">
      <w:pPr>
        <w:spacing w:before="78"/>
        <w:ind w:right="140"/>
        <w:rPr>
          <w:rFonts w:asciiTheme="minorHAnsi" w:hAnsiTheme="minorHAnsi" w:cstheme="minorHAnsi"/>
        </w:rPr>
      </w:pPr>
    </w:p>
    <w:p w14:paraId="26097C19" w14:textId="77777777" w:rsidR="00D412DF" w:rsidRDefault="00D412DF" w:rsidP="00CC1DE5">
      <w:pPr>
        <w:spacing w:before="78"/>
        <w:ind w:right="140"/>
        <w:jc w:val="both"/>
        <w:rPr>
          <w:rFonts w:asciiTheme="minorHAnsi" w:hAnsiTheme="minorHAnsi" w:cstheme="minorHAnsi"/>
          <w:b/>
          <w:bCs/>
        </w:rPr>
        <w:sectPr w:rsidR="00D412DF" w:rsidSect="00D412DF">
          <w:type w:val="continuous"/>
          <w:pgSz w:w="11910" w:h="16840"/>
          <w:pgMar w:top="580" w:right="850" w:bottom="820" w:left="850" w:header="720" w:footer="634" w:gutter="0"/>
          <w:cols w:space="720"/>
          <w:docGrid w:linePitch="299"/>
        </w:sectPr>
      </w:pPr>
    </w:p>
    <w:p w14:paraId="381DE7A9" w14:textId="298A05C4" w:rsidR="006B2E30" w:rsidRDefault="00151715" w:rsidP="006B2E30">
      <w:pPr>
        <w:jc w:val="both"/>
        <w:rPr>
          <w:rFonts w:asciiTheme="minorHAnsi" w:hAnsiTheme="minorHAnsi" w:cstheme="minorHAnsi"/>
        </w:rPr>
        <w:sectPr w:rsidR="006B2E30" w:rsidSect="006B2E30">
          <w:type w:val="continuous"/>
          <w:pgSz w:w="11910" w:h="16840"/>
          <w:pgMar w:top="580" w:right="850" w:bottom="820" w:left="850" w:header="720" w:footer="634" w:gutter="0"/>
          <w:cols w:num="2" w:space="418"/>
          <w:docGrid w:linePitch="299"/>
        </w:sectPr>
      </w:pPr>
      <w:r w:rsidRPr="00285C6C">
        <w:rPr>
          <w:rFonts w:asciiTheme="minorHAnsi" w:hAnsiTheme="minorHAnsi" w:cstheme="minorHAnsi"/>
          <w:b/>
          <w:bCs/>
        </w:rPr>
        <w:t>INTRODUCTION:</w:t>
      </w:r>
    </w:p>
    <w:p w14:paraId="1EF778D7" w14:textId="74992D4B"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dawn of the 21st century has witnessed a paradigm shift in computing, driven primarily by the advancements in Artificial Intelligence (AI). From foundational research in computer vision and Natural Language Processing (NLP) to complex applications in drug discovery and autonomous systems (Pandey et al., 2022; Lemley et al., 2017), AI's integration into modern society is profound and accelerating (Zhang &amp; Lu, 2021). This acceleration is intrinsically linked to two factors: the availability of massive datasets and, critically, the computational power required to train increasingly deep and parameter-heavy neural networks.</w:t>
      </w:r>
    </w:p>
    <w:p w14:paraId="16E396C4"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core computational challenge in AI training lies in executing billions, or even trillions, of repetitive, large-scale matrix multiplication operations with speed and precision. This requirement quickly outstripped the capabilities of traditional Central Processing Units (CPUs), which are optimized for sequential processing and control logic. The Graphics Processing Unit (GPU), initially conceived for rendering complex graphical scenes through massive parallelization, emerged as the indispensable key processor for AI and parallel processing workloads (Baji, 2017; </w:t>
      </w:r>
      <w:proofErr w:type="spellStart"/>
      <w:r w:rsidRPr="00AC1BEF">
        <w:rPr>
          <w:rFonts w:asciiTheme="minorHAnsi" w:hAnsiTheme="minorHAnsi"/>
          <w:lang w:val="en-IN"/>
        </w:rPr>
        <w:t>Madiajagan</w:t>
      </w:r>
      <w:proofErr w:type="spellEnd"/>
      <w:r w:rsidRPr="00AC1BEF">
        <w:rPr>
          <w:rFonts w:asciiTheme="minorHAnsi" w:hAnsiTheme="minorHAnsi"/>
          <w:lang w:val="en-IN"/>
        </w:rPr>
        <w:t xml:space="preserve"> &amp; Raj, 2019). Its architecture, comprising thousands of smaller, specialized cores </w:t>
      </w:r>
      <w:r w:rsidRPr="00AC1BEF">
        <w:rPr>
          <w:rFonts w:asciiTheme="minorHAnsi" w:hAnsiTheme="minorHAnsi"/>
          <w:lang w:val="en-IN"/>
        </w:rPr>
        <w:lastRenderedPageBreak/>
        <w:t>operating concurrently, perfectly maps to the linear algebra operations inherent in deep learning algorithms (Raschka et al., 2020).</w:t>
      </w:r>
    </w:p>
    <w:p w14:paraId="341B9BB2"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shift from on-premises dedicated hardware to cloud-based GPU infrastructure represents the next logical step in accommodating this computational hunger. Cloud platforms offer elasticity, rapid scalability, and access to the latest generations of specialized hardware (Gupta, 2021) without the debilitating capital expenditure (</w:t>
      </w:r>
      <w:proofErr w:type="spellStart"/>
      <w:r w:rsidRPr="00AC1BEF">
        <w:rPr>
          <w:rFonts w:asciiTheme="minorHAnsi" w:hAnsiTheme="minorHAnsi"/>
          <w:lang w:val="en-IN"/>
        </w:rPr>
        <w:t>CapEx</w:t>
      </w:r>
      <w:proofErr w:type="spellEnd"/>
      <w:r w:rsidRPr="00AC1BEF">
        <w:rPr>
          <w:rFonts w:asciiTheme="minorHAnsi" w:hAnsiTheme="minorHAnsi"/>
          <w:lang w:val="en-IN"/>
        </w:rPr>
        <w:t xml:space="preserve">) associated with building and maintaining private data </w:t>
      </w:r>
      <w:proofErr w:type="spellStart"/>
      <w:r w:rsidRPr="00AC1BEF">
        <w:rPr>
          <w:rFonts w:asciiTheme="minorHAnsi" w:hAnsiTheme="minorHAnsi"/>
          <w:lang w:val="en-IN"/>
        </w:rPr>
        <w:t>centers</w:t>
      </w:r>
      <w:proofErr w:type="spellEnd"/>
      <w:r w:rsidRPr="00AC1BEF">
        <w:rPr>
          <w:rFonts w:asciiTheme="minorHAnsi" w:hAnsiTheme="minorHAnsi"/>
          <w:lang w:val="en-IN"/>
        </w:rPr>
        <w:t>. This flexibility is essential for both startups conducting experimental Proofs of Concept (</w:t>
      </w:r>
      <w:proofErr w:type="spellStart"/>
      <w:r w:rsidRPr="00AC1BEF">
        <w:rPr>
          <w:rFonts w:asciiTheme="minorHAnsi" w:hAnsiTheme="minorHAnsi"/>
          <w:lang w:val="en-IN"/>
        </w:rPr>
        <w:t>PoCs</w:t>
      </w:r>
      <w:proofErr w:type="spellEnd"/>
      <w:r w:rsidRPr="00AC1BEF">
        <w:rPr>
          <w:rFonts w:asciiTheme="minorHAnsi" w:hAnsiTheme="minorHAnsi"/>
          <w:lang w:val="en-IN"/>
        </w:rPr>
        <w:t>) and established enterprises navigating the uncertain demands of fluctuating research cycles (Batra et al., 2019). The availability of high-performance GPU instances—such as NVIDIA's A100 and H100 series, or competing offerings from AMD and Intel—as a rentable service has democratized access to exascale computing capabilities previously reserved for national laboratories and tech giants.</w:t>
      </w:r>
    </w:p>
    <w:p w14:paraId="2230C1E0"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However, moving AI training to the cloud introduces a new set of complex trade-offs. While the promise of "unlimited" resources is appealing, the operational reality involves intricate challenges related to network latency, distributed systems management, and unpredictable billing models. The performance of a modern AI training workload is no longer solely dependent on the raw </w:t>
      </w:r>
      <w:proofErr w:type="spellStart"/>
      <w:r w:rsidRPr="00AC1BEF">
        <w:rPr>
          <w:rFonts w:asciiTheme="minorHAnsi" w:hAnsiTheme="minorHAnsi"/>
          <w:lang w:val="en-IN"/>
        </w:rPr>
        <w:t>TeraFLOPS</w:t>
      </w:r>
      <w:proofErr w:type="spellEnd"/>
      <w:r w:rsidRPr="00AC1BEF">
        <w:rPr>
          <w:rFonts w:asciiTheme="minorHAnsi" w:hAnsiTheme="minorHAnsi"/>
          <w:lang w:val="en-IN"/>
        </w:rPr>
        <w:t xml:space="preserve"> (TFLOPS) of a single GPU; rather, it is a function of the entire distributed system: the efficiency of data transfer across the memory bus, the speed of inter-GPU communication via interconnects, the performance of the underlying storage architecture, and the sophistication of the resource scheduling framework (</w:t>
      </w:r>
      <w:proofErr w:type="spellStart"/>
      <w:r w:rsidRPr="00AC1BEF">
        <w:rPr>
          <w:rFonts w:asciiTheme="minorHAnsi" w:hAnsiTheme="minorHAnsi"/>
          <w:lang w:val="en-IN"/>
        </w:rPr>
        <w:t>Gadiyar</w:t>
      </w:r>
      <w:proofErr w:type="spellEnd"/>
      <w:r w:rsidRPr="00AC1BEF">
        <w:rPr>
          <w:rFonts w:asciiTheme="minorHAnsi" w:hAnsiTheme="minorHAnsi"/>
          <w:lang w:val="en-IN"/>
        </w:rPr>
        <w:t xml:space="preserve"> et al., 2018; Xiao et al., 2018).</w:t>
      </w:r>
    </w:p>
    <w:p w14:paraId="438A696B"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This paper, therefore, undertakes a rigorous analysis of Cloud GPU architectures across three interdependent axes crucial for sustained AI innovation: </w:t>
      </w:r>
      <w:r w:rsidRPr="00AC1BEF">
        <w:rPr>
          <w:rFonts w:asciiTheme="minorHAnsi" w:hAnsiTheme="minorHAnsi"/>
          <w:b/>
          <w:lang w:val="en-IN"/>
        </w:rPr>
        <w:t>Efficiency</w:t>
      </w:r>
      <w:r w:rsidRPr="00AC1BEF">
        <w:rPr>
          <w:rFonts w:asciiTheme="minorHAnsi" w:hAnsiTheme="minorHAnsi"/>
          <w:lang w:val="en-IN"/>
        </w:rPr>
        <w:t>, </w:t>
      </w:r>
      <w:r w:rsidRPr="00AC1BEF">
        <w:rPr>
          <w:rFonts w:asciiTheme="minorHAnsi" w:hAnsiTheme="minorHAnsi"/>
          <w:b/>
          <w:lang w:val="en-IN"/>
        </w:rPr>
        <w:t>Scalability</w:t>
      </w:r>
      <w:r w:rsidRPr="00AC1BEF">
        <w:rPr>
          <w:rFonts w:asciiTheme="minorHAnsi" w:hAnsiTheme="minorHAnsi"/>
          <w:lang w:val="en-IN"/>
        </w:rPr>
        <w:t>, and </w:t>
      </w:r>
      <w:r w:rsidRPr="00AC1BEF">
        <w:rPr>
          <w:rFonts w:asciiTheme="minorHAnsi" w:hAnsiTheme="minorHAnsi"/>
          <w:b/>
          <w:lang w:val="en-IN"/>
        </w:rPr>
        <w:t>Cost</w:t>
      </w:r>
      <w:r w:rsidRPr="00AC1BEF">
        <w:rPr>
          <w:rFonts w:asciiTheme="minorHAnsi" w:hAnsiTheme="minorHAnsi"/>
          <w:lang w:val="en-IN"/>
        </w:rPr>
        <w:t xml:space="preserve">. Efficiency is examined from an architectural perspective, focusing on how internal GPU components and software optimization techniques maximize computational throughput. Scalability delves into the challenges of distributed training, emphasizing the necessary high-speed network fabrics and distributed frameworks. Finally, Cost Analysis provides a framework for evaluating the Total Cost of Ownership (TCO) of cloud usage versus dedicated infrastructure, highlighting the economic break-even points for different organizational strategies. By synthesizing existing literature and contemporary industry benchmarks, this study aims to provide a quantitative and qualitative </w:t>
      </w:r>
      <w:r w:rsidRPr="00AC1BEF">
        <w:rPr>
          <w:rFonts w:asciiTheme="minorHAnsi" w:hAnsiTheme="minorHAnsi"/>
          <w:lang w:val="en-IN"/>
        </w:rPr>
        <w:t>understanding of the state-of-the-art in cloud-based AI training infrastructure. The insights derived are vital for researchers, data scientists, and chief technology officers (CTOs) tasked with making strategic decisions regarding resource allocation in the ever-evolving digital era (Jaspreet Singh, 2023).</w:t>
      </w:r>
    </w:p>
    <w:p w14:paraId="2FFB0CCE"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2. Methods</w:t>
      </w:r>
    </w:p>
    <w:p w14:paraId="4D2719FF"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methodology employed in this study is based on a structured, multi-disciplinary literature review and comparative architectural analysis, designed to evaluate the performance characteristics of Cloud GPU architectures within the context of modern AI training workloads. The goal is to move beyond mere hardware specifications and </w:t>
      </w:r>
      <w:proofErr w:type="spellStart"/>
      <w:r w:rsidRPr="00AC1BEF">
        <w:rPr>
          <w:rFonts w:asciiTheme="minorHAnsi" w:hAnsiTheme="minorHAnsi"/>
          <w:lang w:val="en-IN"/>
        </w:rPr>
        <w:t>analyze</w:t>
      </w:r>
      <w:proofErr w:type="spellEnd"/>
      <w:r w:rsidRPr="00AC1BEF">
        <w:rPr>
          <w:rFonts w:asciiTheme="minorHAnsi" w:hAnsiTheme="minorHAnsi"/>
          <w:lang w:val="en-IN"/>
        </w:rPr>
        <w:t xml:space="preserve"> the functional performance across the three defined metrics: Efficiency, Scalability, and Cost.</w:t>
      </w:r>
    </w:p>
    <w:p w14:paraId="701D1956"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2.1. Literature Review Protocol</w:t>
      </w:r>
    </w:p>
    <w:p w14:paraId="2761DFF2"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A comprehensive search of academic databases (including IEEE Xplore, ACM Digital Library, and </w:t>
      </w:r>
      <w:proofErr w:type="spellStart"/>
      <w:r w:rsidRPr="00AC1BEF">
        <w:rPr>
          <w:rFonts w:asciiTheme="minorHAnsi" w:hAnsiTheme="minorHAnsi"/>
          <w:lang w:val="en-IN"/>
        </w:rPr>
        <w:t>arXiv</w:t>
      </w:r>
      <w:proofErr w:type="spellEnd"/>
      <w:r w:rsidRPr="00AC1BEF">
        <w:rPr>
          <w:rFonts w:asciiTheme="minorHAnsi" w:hAnsiTheme="minorHAnsi"/>
          <w:lang w:val="en-IN"/>
        </w:rPr>
        <w:t>) and industry white papers was conducted using keyword combinations focusing on: "Cloud GPU," "AI Training," "Deep Learning Benchmarking," "Distributed Machine Learning," "</w:t>
      </w:r>
      <w:proofErr w:type="spellStart"/>
      <w:r w:rsidRPr="00AC1BEF">
        <w:rPr>
          <w:rFonts w:asciiTheme="minorHAnsi" w:hAnsiTheme="minorHAnsi"/>
          <w:lang w:val="en-IN"/>
        </w:rPr>
        <w:t>NVLink</w:t>
      </w:r>
      <w:proofErr w:type="spellEnd"/>
      <w:r w:rsidRPr="00AC1BEF">
        <w:rPr>
          <w:rFonts w:asciiTheme="minorHAnsi" w:hAnsiTheme="minorHAnsi"/>
          <w:lang w:val="en-IN"/>
        </w:rPr>
        <w:t>," "InfiniBand," and "Total Cost of Ownership (TCO) AI." The search yielded a total of twenty-seven highly relevant sources, including peer-reviewed articles, conference proceedings, technical reports, and authoritative industry analyses, which form the basis of this paper's discussion. These selected materials were prioritized based on their direct relevance to modern (post-2017) deep learning infrastructure and their explicit focus on the architectural and systemic challenges of large-scale AI training.</w:t>
      </w:r>
    </w:p>
    <w:p w14:paraId="70D9095F"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2.2. Architectural and Systemic Scope of Analysis</w:t>
      </w:r>
    </w:p>
    <w:p w14:paraId="51498622"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analysis is structured around the components of a typical multi-node, cloud-based GPU training cluster:</w:t>
      </w:r>
    </w:p>
    <w:p w14:paraId="0CABB3AD" w14:textId="77777777" w:rsidR="00AC1BEF" w:rsidRPr="00AC1BEF" w:rsidRDefault="00AC1BEF" w:rsidP="00AC1BEF">
      <w:pPr>
        <w:numPr>
          <w:ilvl w:val="0"/>
          <w:numId w:val="9"/>
        </w:numPr>
        <w:tabs>
          <w:tab w:val="left" w:pos="709"/>
        </w:tabs>
        <w:spacing w:before="78"/>
        <w:ind w:right="144"/>
        <w:jc w:val="both"/>
        <w:rPr>
          <w:rFonts w:asciiTheme="minorHAnsi" w:hAnsiTheme="minorHAnsi"/>
          <w:lang w:val="en-IN"/>
        </w:rPr>
      </w:pPr>
      <w:r w:rsidRPr="00AC1BEF">
        <w:rPr>
          <w:rFonts w:asciiTheme="minorHAnsi" w:hAnsiTheme="minorHAnsi"/>
          <w:b/>
          <w:lang w:val="en-IN"/>
        </w:rPr>
        <w:t>Hardware Architecture (Efficiency Focus):</w:t>
      </w:r>
      <w:r w:rsidRPr="00AC1BEF">
        <w:rPr>
          <w:rFonts w:asciiTheme="minorHAnsi" w:hAnsiTheme="minorHAnsi"/>
          <w:lang w:val="en-IN"/>
        </w:rPr>
        <w:t xml:space="preserve"> Examination of the internal GPU architecture, focusing on the specialized components that drive high-throughput computing. This includes the role of parallel cores, the impact of memory technology (HBM), and the function of dedicated matrix accelerators (e.g., Tensor Cores). The influence of computational standards like OpenCL (John E. Stone et al., 2010) and the emergence of non-conventional accelerators (Albert Reuther et al., 2019; </w:t>
      </w:r>
      <w:proofErr w:type="spellStart"/>
      <w:r w:rsidRPr="00AC1BEF">
        <w:rPr>
          <w:rFonts w:asciiTheme="minorHAnsi" w:hAnsiTheme="minorHAnsi"/>
          <w:lang w:val="en-IN"/>
        </w:rPr>
        <w:t>Shaojun</w:t>
      </w:r>
      <w:proofErr w:type="spellEnd"/>
      <w:r w:rsidRPr="00AC1BEF">
        <w:rPr>
          <w:rFonts w:asciiTheme="minorHAnsi" w:hAnsiTheme="minorHAnsi"/>
          <w:lang w:val="en-IN"/>
        </w:rPr>
        <w:t xml:space="preserve"> Weil, 2020) are also incorporated to provide context.</w:t>
      </w:r>
    </w:p>
    <w:p w14:paraId="3218A7D9" w14:textId="77777777" w:rsidR="00AC1BEF" w:rsidRPr="00AC1BEF" w:rsidRDefault="00AC1BEF" w:rsidP="00AC1BEF">
      <w:pPr>
        <w:numPr>
          <w:ilvl w:val="0"/>
          <w:numId w:val="9"/>
        </w:numPr>
        <w:tabs>
          <w:tab w:val="left" w:pos="709"/>
        </w:tabs>
        <w:spacing w:before="78"/>
        <w:ind w:right="144"/>
        <w:jc w:val="both"/>
        <w:rPr>
          <w:rFonts w:asciiTheme="minorHAnsi" w:hAnsiTheme="minorHAnsi"/>
          <w:lang w:val="en-IN"/>
        </w:rPr>
      </w:pPr>
      <w:r w:rsidRPr="00AC1BEF">
        <w:rPr>
          <w:rFonts w:asciiTheme="minorHAnsi" w:hAnsiTheme="minorHAnsi"/>
          <w:b/>
          <w:lang w:val="en-IN"/>
        </w:rPr>
        <w:t>Distributed Infrastructure (Scalability Focus):</w:t>
      </w:r>
      <w:r w:rsidRPr="00AC1BEF">
        <w:rPr>
          <w:rFonts w:asciiTheme="minorHAnsi" w:hAnsiTheme="minorHAnsi"/>
          <w:lang w:val="en-IN"/>
        </w:rPr>
        <w:t> Evaluation of the inter-node and intra-</w:t>
      </w:r>
      <w:r w:rsidRPr="00AC1BEF">
        <w:rPr>
          <w:rFonts w:asciiTheme="minorHAnsi" w:hAnsiTheme="minorHAnsi"/>
          <w:lang w:val="en-IN"/>
        </w:rPr>
        <w:lastRenderedPageBreak/>
        <w:t xml:space="preserve">node communication pathways essential for large-scale, distributed training. This involves </w:t>
      </w:r>
      <w:proofErr w:type="spellStart"/>
      <w:r w:rsidRPr="00AC1BEF">
        <w:rPr>
          <w:rFonts w:asciiTheme="minorHAnsi" w:hAnsiTheme="minorHAnsi"/>
          <w:lang w:val="en-IN"/>
        </w:rPr>
        <w:t>analyzing</w:t>
      </w:r>
      <w:proofErr w:type="spellEnd"/>
      <w:r w:rsidRPr="00AC1BEF">
        <w:rPr>
          <w:rFonts w:asciiTheme="minorHAnsi" w:hAnsiTheme="minorHAnsi"/>
          <w:lang w:val="en-IN"/>
        </w:rPr>
        <w:t xml:space="preserve"> the impact of high-speed interconnects (like InfiniBand and </w:t>
      </w:r>
      <w:proofErr w:type="spellStart"/>
      <w:r w:rsidRPr="00AC1BEF">
        <w:rPr>
          <w:rFonts w:asciiTheme="minorHAnsi" w:hAnsiTheme="minorHAnsi"/>
          <w:lang w:val="en-IN"/>
        </w:rPr>
        <w:t>NVLink</w:t>
      </w:r>
      <w:proofErr w:type="spellEnd"/>
      <w:r w:rsidRPr="00AC1BEF">
        <w:rPr>
          <w:rFonts w:asciiTheme="minorHAnsi" w:hAnsiTheme="minorHAnsi"/>
          <w:lang w:val="en-IN"/>
        </w:rPr>
        <w:t>) on gradient synchronization and model parallelism (Luo Mai et al.). Furthermore, the role of operating system scheduling and resource management frameworks in optimizing GPU utilization for deep learning jobs is assessed (Xiao et al., 2018).</w:t>
      </w:r>
    </w:p>
    <w:p w14:paraId="76EC0BEA" w14:textId="77777777" w:rsidR="00AC1BEF" w:rsidRPr="00AC1BEF" w:rsidRDefault="00AC1BEF" w:rsidP="00AC1BEF">
      <w:pPr>
        <w:numPr>
          <w:ilvl w:val="0"/>
          <w:numId w:val="9"/>
        </w:numPr>
        <w:tabs>
          <w:tab w:val="left" w:pos="709"/>
        </w:tabs>
        <w:spacing w:before="78"/>
        <w:ind w:right="144"/>
        <w:jc w:val="both"/>
        <w:rPr>
          <w:rFonts w:asciiTheme="minorHAnsi" w:hAnsiTheme="minorHAnsi"/>
          <w:lang w:val="en-IN"/>
        </w:rPr>
      </w:pPr>
      <w:r w:rsidRPr="00AC1BEF">
        <w:rPr>
          <w:rFonts w:asciiTheme="minorHAnsi" w:hAnsiTheme="minorHAnsi"/>
          <w:b/>
          <w:lang w:val="en-IN"/>
        </w:rPr>
        <w:t>Economic Models and Benchmarking (Cost Focus):</w:t>
      </w:r>
      <w:r w:rsidRPr="00AC1BEF">
        <w:rPr>
          <w:rFonts w:asciiTheme="minorHAnsi" w:hAnsiTheme="minorHAnsi"/>
          <w:lang w:val="en-IN"/>
        </w:rPr>
        <w:t> A review of benchmark methodologies and economic metrics applied to cloud computing environments (Manav Madan et al., 2021). This section contrasts the pay-as-you-go (</w:t>
      </w:r>
      <w:proofErr w:type="spellStart"/>
      <w:r w:rsidRPr="00AC1BEF">
        <w:rPr>
          <w:rFonts w:asciiTheme="minorHAnsi" w:hAnsiTheme="minorHAnsi"/>
          <w:lang w:val="en-IN"/>
        </w:rPr>
        <w:t>OpEx</w:t>
      </w:r>
      <w:proofErr w:type="spellEnd"/>
      <w:r w:rsidRPr="00AC1BEF">
        <w:rPr>
          <w:rFonts w:asciiTheme="minorHAnsi" w:hAnsiTheme="minorHAnsi"/>
          <w:lang w:val="en-IN"/>
        </w:rPr>
        <w:t>) model of cloud services with the upfront capital investment (</w:t>
      </w:r>
      <w:proofErr w:type="spellStart"/>
      <w:r w:rsidRPr="00AC1BEF">
        <w:rPr>
          <w:rFonts w:asciiTheme="minorHAnsi" w:hAnsiTheme="minorHAnsi"/>
          <w:lang w:val="en-IN"/>
        </w:rPr>
        <w:t>CapEx</w:t>
      </w:r>
      <w:proofErr w:type="spellEnd"/>
      <w:r w:rsidRPr="00AC1BEF">
        <w:rPr>
          <w:rFonts w:asciiTheme="minorHAnsi" w:hAnsiTheme="minorHAnsi"/>
          <w:lang w:val="en-IN"/>
        </w:rPr>
        <w:t xml:space="preserve">) of on-premises solutions, examining the financial break-even points and the impact of ancillary costs (e.g., data egress, storage, cooling) often overlooked in simplistic hourly rate comparisons (Lulla et al., 2025). The transformative potential of optimized model training, such as through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Distributed (Shen Li et al., 2020) and automated compilers (Tianqi Chen et al., 2018), is included as a necessary component of cost reduction.</w:t>
      </w:r>
    </w:p>
    <w:p w14:paraId="58921946"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2.3. Data Synthesis and Citation Strategy</w:t>
      </w:r>
    </w:p>
    <w:p w14:paraId="77E089A3"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All information synthesized from the literature is rigorously contextualized and supported by in-text citations. Given the multidisciplinary nature of the topic, which spans hardware engineering, computer science, economics, and applied AI, citations are integrated to validate claims related to technical feasibility (e.g., John E. Stone et al., 2010), economic trends (e.g., Batra et al., 2019), and specialized applications (e.g., Pandey et al., 2022). Where multiple sources cover similar concepts (e.g., combating misinformation, as noted by C. N, 2022; and CN, C., 2022), they are collectively referenced to underscore the consensus within the field. The resulting analysis is qualitative, drawing connections between disparate architectural elements and their combined impact on the real-world performance and economic viability of modern AI training in the cloud.</w:t>
      </w:r>
    </w:p>
    <w:p w14:paraId="7C0D320A"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 Results</w:t>
      </w:r>
    </w:p>
    <w:p w14:paraId="2145A557"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analysis of Cloud GPU architectures for modern AI training workloads reveals a complex interplay between specialized hardware design, high-speed networking, and system-level software optimization. The findings are categorized according to the three primary evaluation metrics: Efficiency, Scalability, and Cost, providing a deep dive into the underlying factors driving performance in contemporary cloud environments.</w:t>
      </w:r>
    </w:p>
    <w:p w14:paraId="07E4D041"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3.1. Architectural Foundations and Computational Efficiency</w:t>
      </w:r>
    </w:p>
    <w:p w14:paraId="7015F253"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efficiency of a GPU for deep learning is derived primarily from its massive parallel processing capacity, which allows it to handle the large-scale vector and matrix operations that define neural network training. This architectural advantage, noted by pioneers in the field (Baji, 2017), is maximized in cloud environments through specific design choices and software layers.</w:t>
      </w:r>
    </w:p>
    <w:p w14:paraId="14FE5A82"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3.1.1. GPU Microarchitecture and Specialized Cores</w:t>
      </w:r>
    </w:p>
    <w:p w14:paraId="7CE2E68B"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Modern cloud GPUs—such as those based on NVIDIA's Ampere and Hopper architectures—rely on a hierarchy of specialized cores. While the general-purpose CUDA cores (or AMD’s Stream Processors) execute standard floating-point arithmetic, the introduction of </w:t>
      </w:r>
      <w:r w:rsidRPr="00AC1BEF">
        <w:rPr>
          <w:rFonts w:asciiTheme="minorHAnsi" w:hAnsiTheme="minorHAnsi"/>
          <w:b/>
          <w:lang w:val="en-IN"/>
        </w:rPr>
        <w:t>Tensor Cores</w:t>
      </w:r>
      <w:r w:rsidRPr="00AC1BEF">
        <w:rPr>
          <w:rFonts w:asciiTheme="minorHAnsi" w:hAnsiTheme="minorHAnsi"/>
          <w:lang w:val="en-IN"/>
        </w:rPr>
        <w:t> is a game-changer for AI workloads. These cores are engineered to accelerate the mixed-precision matrix multiplication and accumulation operations fundamental to deep learning (Sharma et al., 2016). By leveraging lower-precision formats like FP16, Bfloat16, or even FP8 (as noted in recent industry trends), Tensor Cores significantly increase the effective throughput (TFLOPS) while maintaining necessary model accuracy. The capability for specialized computation is increasingly recognized as a vital component of advanced computing systems, extending even to the realm of neuromorphic computing (Catherine D. Schuman et al., 2022) and in-memory computation (Jintao Zhang et al., 2017), indicating a strong trend toward purpose-built silicon.</w:t>
      </w:r>
    </w:p>
    <w:p w14:paraId="27B360FA"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This efficiency is buttressed by </w:t>
      </w:r>
      <w:r w:rsidRPr="00AC1BEF">
        <w:rPr>
          <w:rFonts w:asciiTheme="minorHAnsi" w:hAnsiTheme="minorHAnsi"/>
          <w:b/>
          <w:lang w:val="en-IN"/>
        </w:rPr>
        <w:t>High-Bandwidth Memory (HBM)</w:t>
      </w:r>
      <w:r w:rsidRPr="00AC1BEF">
        <w:rPr>
          <w:rFonts w:asciiTheme="minorHAnsi" w:hAnsiTheme="minorHAnsi"/>
          <w:lang w:val="en-IN"/>
        </w:rPr>
        <w:t>, which is stacked vertically next to the GPU die. HBM provides far greater memory bandwidth (often exceeding 1.5 TB/s in modern generations) than conventional GDDR memory. This high throughput is critical because AI training is often memory-bandwidth bound, especially when dealing with large datasets or high-resolution inputs in applications like computer vision or the massive vocabulary requirements of LLMs. The ability to rapidly feed data to the thousands of processing cores is as important as the cores' raw calculation speed.</w:t>
      </w:r>
    </w:p>
    <w:p w14:paraId="279C21AD"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Furthermore, GPU design dictates that the entire system must be considered a heterogeneous computing environment, where the CPU manages data preprocessing and control flow, while the GPU handles the bulk of the parallel computation (</w:t>
      </w:r>
      <w:proofErr w:type="spellStart"/>
      <w:r w:rsidRPr="00AC1BEF">
        <w:rPr>
          <w:rFonts w:asciiTheme="minorHAnsi" w:hAnsiTheme="minorHAnsi"/>
          <w:lang w:val="en-IN"/>
        </w:rPr>
        <w:t>Gadiyar</w:t>
      </w:r>
      <w:proofErr w:type="spellEnd"/>
      <w:r w:rsidRPr="00AC1BEF">
        <w:rPr>
          <w:rFonts w:asciiTheme="minorHAnsi" w:hAnsiTheme="minorHAnsi"/>
          <w:lang w:val="en-IN"/>
        </w:rPr>
        <w:t xml:space="preserve"> et al., 2018). This division of </w:t>
      </w:r>
      <w:proofErr w:type="spellStart"/>
      <w:r w:rsidRPr="00AC1BEF">
        <w:rPr>
          <w:rFonts w:asciiTheme="minorHAnsi" w:hAnsiTheme="minorHAnsi"/>
          <w:lang w:val="en-IN"/>
        </w:rPr>
        <w:t>labor</w:t>
      </w:r>
      <w:proofErr w:type="spellEnd"/>
      <w:r w:rsidRPr="00AC1BEF">
        <w:rPr>
          <w:rFonts w:asciiTheme="minorHAnsi" w:hAnsiTheme="minorHAnsi"/>
          <w:lang w:val="en-IN"/>
        </w:rPr>
        <w:t xml:space="preserve"> necessitates robust programming interfaces. The evolution of standards like OpenCL has provided a parallel programming framework for these heterogeneous computing </w:t>
      </w:r>
      <w:r w:rsidRPr="00AC1BEF">
        <w:rPr>
          <w:rFonts w:asciiTheme="minorHAnsi" w:hAnsiTheme="minorHAnsi"/>
          <w:lang w:val="en-IN"/>
        </w:rPr>
        <w:lastRenderedPageBreak/>
        <w:t>systems, allowing developers to target the underlying hardware abstraction layer effectively (John E. Stone et al., 2010).</w:t>
      </w:r>
    </w:p>
    <w:p w14:paraId="2BC4AEEF"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3.1.2. Compiler Optimization and Framework Efficiency</w:t>
      </w:r>
    </w:p>
    <w:p w14:paraId="3377CC6F"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Raw hardware power alone is insufficient; software efficiency must bridge the gap between high-level AI frameworks (like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and TensorFlow) and the GPU's low-level instruction set. This is where compiler optimization becomes crucial. Projects like TVM (Tianqi Chen et al., 2018) aim to automate the process of optimizing deep learning models for diverse hardware backends, including cloud GPUs. By applying advanced scheduling and lowering techniques, these compilers can generate highly efficient code that maximizes core utilization and minimizes memory access latency. This step directly influences training time and, consequently, computational cost. The rise of integrated software suites, such as those that support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Distributed (Shen Li et al., 2020), further embeds these optimizations directly into the framework, enabling immediate performance gains for users across various cloud deployments. The strategic use of frameworks and toolchains is essential to unlocking the full potential of cloud hardware.</w:t>
      </w:r>
    </w:p>
    <w:p w14:paraId="15EA8E5A"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3.1.3. Alternative and Reconfigurable Architectures</w:t>
      </w:r>
    </w:p>
    <w:p w14:paraId="6263C5DF"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While the GPU remains the dominant architecture, the demand for specialization has spurred interest in other forms of hardware acceleration. Field-Programmable Gate Arrays (FPGAs) and Application-Specific Integrated Circuits (ASICs), like Google's Tensor Processing Units (TPUs), offer alternatives. FPGAs provide a level of reconfigurable computing that can be tuned precisely to specific network topologies or data paths (</w:t>
      </w:r>
      <w:proofErr w:type="spellStart"/>
      <w:r w:rsidRPr="00AC1BEF">
        <w:rPr>
          <w:rFonts w:asciiTheme="minorHAnsi" w:hAnsiTheme="minorHAnsi"/>
          <w:lang w:val="en-IN"/>
        </w:rPr>
        <w:t>Shaojun</w:t>
      </w:r>
      <w:proofErr w:type="spellEnd"/>
      <w:r w:rsidRPr="00AC1BEF">
        <w:rPr>
          <w:rFonts w:asciiTheme="minorHAnsi" w:hAnsiTheme="minorHAnsi"/>
          <w:lang w:val="en-IN"/>
        </w:rPr>
        <w:t xml:space="preserve"> Weil, 2020), offering potential gains in energy efficiency and throughput for specialized workloads. Albert Reuther et al. (2019) provided a detailed survey and benchmarking of </w:t>
      </w:r>
      <w:proofErr w:type="gramStart"/>
      <w:r w:rsidRPr="00AC1BEF">
        <w:rPr>
          <w:rFonts w:asciiTheme="minorHAnsi" w:hAnsiTheme="minorHAnsi"/>
          <w:lang w:val="en-IN"/>
        </w:rPr>
        <w:t>these machine</w:t>
      </w:r>
      <w:proofErr w:type="gramEnd"/>
      <w:r w:rsidRPr="00AC1BEF">
        <w:rPr>
          <w:rFonts w:asciiTheme="minorHAnsi" w:hAnsiTheme="minorHAnsi"/>
          <w:lang w:val="en-IN"/>
        </w:rPr>
        <w:t xml:space="preserve"> learning accelerators, noting that the architectural trade-offs often involve a balance between general-purpose flexibility (GPUs) and extreme efficiency for targeted tasks (ASICs). The decision point for cloud providers often hinges on the amortization of development costs versus the versatility of the offering, but the trend points towards a multi-accelerator cloud environment.</w:t>
      </w:r>
    </w:p>
    <w:p w14:paraId="28AAD82D" w14:textId="336B8B0F"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w:t>
      </w:r>
      <w:proofErr w:type="gramStart"/>
      <w:r w:rsidRPr="00AC1BEF">
        <w:rPr>
          <w:rFonts w:asciiTheme="minorHAnsi" w:hAnsiTheme="minorHAnsi"/>
          <w:b/>
          <w:lang w:val="en-IN"/>
        </w:rPr>
        <w:t>2.Scalability</w:t>
      </w:r>
      <w:proofErr w:type="gramEnd"/>
      <w:r w:rsidRPr="00AC1BEF">
        <w:rPr>
          <w:rFonts w:asciiTheme="minorHAnsi" w:hAnsiTheme="minorHAnsi"/>
          <w:b/>
          <w:lang w:val="en-IN"/>
        </w:rPr>
        <w:t xml:space="preserve"> and Distributed Training Infrastructure</w:t>
      </w:r>
    </w:p>
    <w:p w14:paraId="3D33F9DC"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Scalability in modern AI training refers to the ability to efficiently distribute a single training job (often involving models with billions or trillions of </w:t>
      </w:r>
      <w:r w:rsidRPr="00AC1BEF">
        <w:rPr>
          <w:rFonts w:asciiTheme="minorHAnsi" w:hAnsiTheme="minorHAnsi"/>
          <w:lang w:val="en-IN"/>
        </w:rPr>
        <w:t>parameters) across tens, hundreds, or even thousands of GPUs hosted across multiple virtual or physical machines (</w:t>
      </w:r>
      <w:proofErr w:type="spellStart"/>
      <w:r w:rsidRPr="00AC1BEF">
        <w:rPr>
          <w:rFonts w:asciiTheme="minorHAnsi" w:hAnsiTheme="minorHAnsi"/>
          <w:lang w:val="en-IN"/>
        </w:rPr>
        <w:t>Madiajagan</w:t>
      </w:r>
      <w:proofErr w:type="spellEnd"/>
      <w:r w:rsidRPr="00AC1BEF">
        <w:rPr>
          <w:rFonts w:asciiTheme="minorHAnsi" w:hAnsiTheme="minorHAnsi"/>
          <w:lang w:val="en-IN"/>
        </w:rPr>
        <w:t xml:space="preserve"> &amp; Raj, 2019). This shift from single-node to multi-node training introduces networking and resource scheduling as the primary bottlenecks.</w:t>
      </w:r>
    </w:p>
    <w:p w14:paraId="0E0539A7"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3.2.1. Interconnect Technologies and Communication Bottlenecks</w:t>
      </w:r>
    </w:p>
    <w:p w14:paraId="79816F24"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In a distributed training environment, the training data is typically partitioned (data parallelism) or the model itself is partitioned (model parallelism). In both cases, the GPUs must frequently synchronize their updated gradients or model weights. This communication phase is bandwidth-intensive and latency-sensitive, often becoming the single biggest limiting factor to scaling performance.</w:t>
      </w:r>
    </w:p>
    <w:p w14:paraId="7591B01C"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To mitigate this, cloud providers invest heavily in ultra-high-speed interconnect fabrics:</w:t>
      </w:r>
    </w:p>
    <w:p w14:paraId="711E2212" w14:textId="77777777" w:rsidR="00AC1BEF" w:rsidRPr="00AC1BEF" w:rsidRDefault="00AC1BEF" w:rsidP="00E34BC5">
      <w:pPr>
        <w:numPr>
          <w:ilvl w:val="0"/>
          <w:numId w:val="10"/>
        </w:numPr>
        <w:tabs>
          <w:tab w:val="left" w:pos="709"/>
        </w:tabs>
        <w:spacing w:before="78"/>
        <w:ind w:left="360" w:right="144"/>
        <w:jc w:val="both"/>
        <w:rPr>
          <w:rFonts w:asciiTheme="minorHAnsi" w:hAnsiTheme="minorHAnsi"/>
          <w:lang w:val="en-IN"/>
        </w:rPr>
      </w:pPr>
      <w:proofErr w:type="spellStart"/>
      <w:r w:rsidRPr="00AC1BEF">
        <w:rPr>
          <w:rFonts w:asciiTheme="minorHAnsi" w:hAnsiTheme="minorHAnsi"/>
          <w:b/>
          <w:lang w:val="en-IN"/>
        </w:rPr>
        <w:t>NVLink</w:t>
      </w:r>
      <w:proofErr w:type="spellEnd"/>
      <w:r w:rsidRPr="00AC1BEF">
        <w:rPr>
          <w:rFonts w:asciiTheme="minorHAnsi" w:hAnsiTheme="minorHAnsi"/>
          <w:b/>
          <w:lang w:val="en-IN"/>
        </w:rPr>
        <w:t>/</w:t>
      </w:r>
      <w:proofErr w:type="spellStart"/>
      <w:r w:rsidRPr="00AC1BEF">
        <w:rPr>
          <w:rFonts w:asciiTheme="minorHAnsi" w:hAnsiTheme="minorHAnsi"/>
          <w:b/>
          <w:lang w:val="en-IN"/>
        </w:rPr>
        <w:t>NVSwitch</w:t>
      </w:r>
      <w:proofErr w:type="spellEnd"/>
      <w:r w:rsidRPr="00AC1BEF">
        <w:rPr>
          <w:rFonts w:asciiTheme="minorHAnsi" w:hAnsiTheme="minorHAnsi"/>
          <w:b/>
          <w:lang w:val="en-IN"/>
        </w:rPr>
        <w:t>:</w:t>
      </w:r>
      <w:r w:rsidRPr="00AC1BEF">
        <w:rPr>
          <w:rFonts w:asciiTheme="minorHAnsi" w:hAnsiTheme="minorHAnsi"/>
          <w:lang w:val="en-IN"/>
        </w:rPr>
        <w:t> This is the high-bandwidth, low-latency interconnect used </w:t>
      </w:r>
      <w:r w:rsidRPr="00AC1BEF">
        <w:rPr>
          <w:rFonts w:asciiTheme="minorHAnsi" w:hAnsiTheme="minorHAnsi"/>
          <w:i/>
          <w:lang w:val="en-IN"/>
        </w:rPr>
        <w:t>within</w:t>
      </w:r>
      <w:r w:rsidRPr="00AC1BEF">
        <w:rPr>
          <w:rFonts w:asciiTheme="minorHAnsi" w:hAnsiTheme="minorHAnsi"/>
          <w:lang w:val="en-IN"/>
        </w:rPr>
        <w:t xml:space="preserve"> a single physical server (node) to connect GPUs directly to each other and to the CPU. In systems like NVIDIA DGX, </w:t>
      </w:r>
      <w:proofErr w:type="spellStart"/>
      <w:r w:rsidRPr="00AC1BEF">
        <w:rPr>
          <w:rFonts w:asciiTheme="minorHAnsi" w:hAnsiTheme="minorHAnsi"/>
          <w:lang w:val="en-IN"/>
        </w:rPr>
        <w:t>NVSwitch</w:t>
      </w:r>
      <w:proofErr w:type="spellEnd"/>
      <w:r w:rsidRPr="00AC1BEF">
        <w:rPr>
          <w:rFonts w:asciiTheme="minorHAnsi" w:hAnsiTheme="minorHAnsi"/>
          <w:lang w:val="en-IN"/>
        </w:rPr>
        <w:t xml:space="preserve"> can provide hundreds of gigabytes per second of peer-to-peer bandwidth, ensuring that gradient exchange within the node is minimally constrained.</w:t>
      </w:r>
    </w:p>
    <w:p w14:paraId="2C0E0F24" w14:textId="77777777" w:rsidR="00AC1BEF" w:rsidRPr="00AC1BEF" w:rsidRDefault="00AC1BEF" w:rsidP="00E34BC5">
      <w:pPr>
        <w:numPr>
          <w:ilvl w:val="0"/>
          <w:numId w:val="10"/>
        </w:numPr>
        <w:tabs>
          <w:tab w:val="left" w:pos="709"/>
        </w:tabs>
        <w:spacing w:before="78"/>
        <w:ind w:left="360" w:right="144"/>
        <w:jc w:val="both"/>
        <w:rPr>
          <w:rFonts w:asciiTheme="minorHAnsi" w:hAnsiTheme="minorHAnsi"/>
          <w:lang w:val="en-IN"/>
        </w:rPr>
      </w:pPr>
      <w:r w:rsidRPr="00AC1BEF">
        <w:rPr>
          <w:rFonts w:asciiTheme="minorHAnsi" w:hAnsiTheme="minorHAnsi"/>
          <w:b/>
          <w:lang w:val="en-IN"/>
        </w:rPr>
        <w:t>InfiniBand (IB):</w:t>
      </w:r>
      <w:r w:rsidRPr="00AC1BEF">
        <w:rPr>
          <w:rFonts w:asciiTheme="minorHAnsi" w:hAnsiTheme="minorHAnsi"/>
          <w:lang w:val="en-IN"/>
        </w:rPr>
        <w:t> This technology is critical for connecting multiple nodes (servers) into a cohesive cluster. InfiniBand offers extremely low latency (often measured in microseconds) and high throughput (up to 400 Gb/s or more per link in modern generations), significantly outperforming standard Ethernet for the collective communication operations (e.g., all-reduce) necessary in distributed deep learning. Luo Mai et al. demonstrated that optimizing network performance is central to accelerating distributed machine learning, a necessity that cloud infrastructure must address through specialized, non-virtualized network fabrics.</w:t>
      </w:r>
    </w:p>
    <w:p w14:paraId="3267A2A2"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efficiency of these interconnects directly impacts the speed-up gained from adding more GPUs. If the communication overhead exceeds the computational gain, the scalability falters—a phenomenon known as diminishing returns. Cloud GPU architectures must leverage technologies like Remote Direct Memory Access (RDMA) over InfiniBand to allow GPUs on different nodes to exchange data without involving the CPU, thereby minimizing communication latency and increasing effective scalability.</w:t>
      </w:r>
    </w:p>
    <w:p w14:paraId="4CD6F06D"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3.2.2. Distributed Frameworks and Software Scaling</w:t>
      </w:r>
    </w:p>
    <w:p w14:paraId="6CD25BB0"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software layer plays an equally important role in </w:t>
      </w:r>
      <w:r w:rsidRPr="00AC1BEF">
        <w:rPr>
          <w:rFonts w:asciiTheme="minorHAnsi" w:hAnsiTheme="minorHAnsi"/>
          <w:lang w:val="en-IN"/>
        </w:rPr>
        <w:lastRenderedPageBreak/>
        <w:t xml:space="preserve">facilitating scalability. Frameworks like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and TensorFlow have built-in distributed training modules that abstract away the complexity of inter-process communication. Shen Li et al. (2020) detailed the experiences of accelerating data parallel training using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Distributed, underscoring the importance of robust libraries for collective operations and communication backends.</w:t>
      </w:r>
    </w:p>
    <w:p w14:paraId="5D1463D3"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Key scaling techniques employed in the cloud include:</w:t>
      </w:r>
    </w:p>
    <w:p w14:paraId="72467D47" w14:textId="77777777" w:rsidR="00AC1BEF" w:rsidRPr="00AC1BEF" w:rsidRDefault="00AC1BEF" w:rsidP="00AC1BEF">
      <w:pPr>
        <w:numPr>
          <w:ilvl w:val="0"/>
          <w:numId w:val="11"/>
        </w:numPr>
        <w:tabs>
          <w:tab w:val="left" w:pos="709"/>
        </w:tabs>
        <w:spacing w:before="78"/>
        <w:ind w:right="144"/>
        <w:jc w:val="both"/>
        <w:rPr>
          <w:rFonts w:asciiTheme="minorHAnsi" w:hAnsiTheme="minorHAnsi"/>
          <w:lang w:val="en-IN"/>
        </w:rPr>
      </w:pPr>
      <w:r w:rsidRPr="00AC1BEF">
        <w:rPr>
          <w:rFonts w:asciiTheme="minorHAnsi" w:hAnsiTheme="minorHAnsi"/>
          <w:b/>
          <w:lang w:val="en-IN"/>
        </w:rPr>
        <w:t>Data Parallelism:</w:t>
      </w:r>
      <w:r w:rsidRPr="00AC1BEF">
        <w:rPr>
          <w:rFonts w:asciiTheme="minorHAnsi" w:hAnsiTheme="minorHAnsi"/>
          <w:lang w:val="en-IN"/>
        </w:rPr>
        <w:t> The simplest form, where each GPU processes a slice of the training batch, and the gradients are synchronized.</w:t>
      </w:r>
    </w:p>
    <w:p w14:paraId="1540EEA7" w14:textId="77777777" w:rsidR="00AC1BEF" w:rsidRPr="00AC1BEF" w:rsidRDefault="00AC1BEF" w:rsidP="00AC1BEF">
      <w:pPr>
        <w:numPr>
          <w:ilvl w:val="0"/>
          <w:numId w:val="11"/>
        </w:numPr>
        <w:tabs>
          <w:tab w:val="left" w:pos="709"/>
        </w:tabs>
        <w:spacing w:before="78"/>
        <w:ind w:right="144"/>
        <w:jc w:val="both"/>
        <w:rPr>
          <w:rFonts w:asciiTheme="minorHAnsi" w:hAnsiTheme="minorHAnsi"/>
          <w:lang w:val="en-IN"/>
        </w:rPr>
      </w:pPr>
      <w:r w:rsidRPr="00AC1BEF">
        <w:rPr>
          <w:rFonts w:asciiTheme="minorHAnsi" w:hAnsiTheme="minorHAnsi"/>
          <w:b/>
          <w:lang w:val="en-IN"/>
        </w:rPr>
        <w:t>Model Parallelism:</w:t>
      </w:r>
      <w:r w:rsidRPr="00AC1BEF">
        <w:rPr>
          <w:rFonts w:asciiTheme="minorHAnsi" w:hAnsiTheme="minorHAnsi"/>
          <w:lang w:val="en-IN"/>
        </w:rPr>
        <w:t> Necessary for LLMs that cannot fit onto a single GPU's memory. The model layers or parameters are split across multiple GPUs and nodes.</w:t>
      </w:r>
    </w:p>
    <w:p w14:paraId="771038D5" w14:textId="77777777" w:rsidR="00AC1BEF" w:rsidRPr="00AC1BEF" w:rsidRDefault="00AC1BEF" w:rsidP="00AC1BEF">
      <w:pPr>
        <w:numPr>
          <w:ilvl w:val="0"/>
          <w:numId w:val="11"/>
        </w:numPr>
        <w:tabs>
          <w:tab w:val="left" w:pos="709"/>
        </w:tabs>
        <w:spacing w:before="78"/>
        <w:ind w:right="144"/>
        <w:jc w:val="both"/>
        <w:rPr>
          <w:rFonts w:asciiTheme="minorHAnsi" w:hAnsiTheme="minorHAnsi"/>
          <w:lang w:val="en-IN"/>
        </w:rPr>
      </w:pPr>
      <w:r w:rsidRPr="00AC1BEF">
        <w:rPr>
          <w:rFonts w:asciiTheme="minorHAnsi" w:hAnsiTheme="minorHAnsi"/>
          <w:b/>
          <w:lang w:val="en-IN"/>
        </w:rPr>
        <w:t>Pipeline Parallelism:</w:t>
      </w:r>
      <w:r w:rsidRPr="00AC1BEF">
        <w:rPr>
          <w:rFonts w:asciiTheme="minorHAnsi" w:hAnsiTheme="minorHAnsi"/>
          <w:lang w:val="en-IN"/>
        </w:rPr>
        <w:t> Breaking the model layers into sequential stages, with different stages running on different GPUs, often implemented via dynamic memory management (Lemley et al., 2017).</w:t>
      </w:r>
    </w:p>
    <w:p w14:paraId="44613E1D"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These advanced techniques require flexible and efficient scheduling from the underlying cloud infrastructure.</w:t>
      </w:r>
    </w:p>
    <w:p w14:paraId="6198A664"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3.2.3. Resource Management and Job Scheduling</w:t>
      </w:r>
    </w:p>
    <w:p w14:paraId="38342B96"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Efficient scaling is also predicated on effective resource management. In a multi-tenant cloud environment, scheduling deep learning jobs for GPU-based systems is far more complex than for CPUs. Deep learning jobs often run for days or weeks, require exclusive access to network resources, and are highly sensitive to interference from </w:t>
      </w:r>
      <w:proofErr w:type="spellStart"/>
      <w:r w:rsidRPr="00AC1BEF">
        <w:rPr>
          <w:rFonts w:asciiTheme="minorHAnsi" w:hAnsiTheme="minorHAnsi"/>
          <w:lang w:val="en-IN"/>
        </w:rPr>
        <w:t>neighboring</w:t>
      </w:r>
      <w:proofErr w:type="spellEnd"/>
      <w:r w:rsidRPr="00AC1BEF">
        <w:rPr>
          <w:rFonts w:asciiTheme="minorHAnsi" w:hAnsiTheme="minorHAnsi"/>
          <w:lang w:val="en-IN"/>
        </w:rPr>
        <w:t xml:space="preserve"> jobs (Manav Madan et al., 2021). Xiao et al. (2018) highlighted the necessity of sophisticated scheduling techniques that prioritize CPU provisioning alongside GPU allocation. An under-provisioned CPU can starve the GPU, creating a data bottleneck that drastically reduces efficiency, as the CPU is responsible for crucial tasks like data loading, augmentation, and input pipeline management. Cloud orchestration platforms, typically built on Kubernetes, manage resource isolation and scheduling, ensuring high GPU utilization and maintaining the performance isolation required for successful, multi-hour training runs.</w:t>
      </w:r>
    </w:p>
    <w:p w14:paraId="4478EA7D"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3.3. Cost Analysis, Optimization, and Emerging Considerations</w:t>
      </w:r>
    </w:p>
    <w:p w14:paraId="6DC8A4CF"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final axis of analysis concerns the economic viability of cloud GPU architectures. The choice between utilizing cloud services (Operational Expenditure, </w:t>
      </w:r>
      <w:proofErr w:type="spellStart"/>
      <w:r w:rsidRPr="00AC1BEF">
        <w:rPr>
          <w:rFonts w:asciiTheme="minorHAnsi" w:hAnsiTheme="minorHAnsi"/>
          <w:lang w:val="en-IN"/>
        </w:rPr>
        <w:t>OpEx</w:t>
      </w:r>
      <w:proofErr w:type="spellEnd"/>
      <w:r w:rsidRPr="00AC1BEF">
        <w:rPr>
          <w:rFonts w:asciiTheme="minorHAnsi" w:hAnsiTheme="minorHAnsi"/>
          <w:lang w:val="en-IN"/>
        </w:rPr>
        <w:t xml:space="preserve">) and deploying dedicated on-premises hardware (Capital Expenditure, </w:t>
      </w:r>
      <w:proofErr w:type="spellStart"/>
      <w:r w:rsidRPr="00AC1BEF">
        <w:rPr>
          <w:rFonts w:asciiTheme="minorHAnsi" w:hAnsiTheme="minorHAnsi"/>
          <w:lang w:val="en-IN"/>
        </w:rPr>
        <w:t>CapEx</w:t>
      </w:r>
      <w:proofErr w:type="spellEnd"/>
      <w:r w:rsidRPr="00AC1BEF">
        <w:rPr>
          <w:rFonts w:asciiTheme="minorHAnsi" w:hAnsiTheme="minorHAnsi"/>
          <w:lang w:val="en-IN"/>
        </w:rPr>
        <w:t xml:space="preserve">) is a strategic decision that heavily influences the Total </w:t>
      </w:r>
      <w:r w:rsidRPr="00AC1BEF">
        <w:rPr>
          <w:rFonts w:asciiTheme="minorHAnsi" w:hAnsiTheme="minorHAnsi"/>
          <w:lang w:val="en-IN"/>
        </w:rPr>
        <w:t>Cost of Ownership (TCO) over the project lifecycle (Batra et al., 2019).</w:t>
      </w:r>
    </w:p>
    <w:p w14:paraId="45678C84"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3.3.1. Cloud vs. On-Premises TCO Comparison</w:t>
      </w:r>
    </w:p>
    <w:p w14:paraId="30866C69"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Cloud GPUs, with their pay-as-you-go model, are inherently flexible and ideal for variable or burst workloads, experimental phases, and organizations with uncertain compute demand (Gupta, 2021). They eliminate high upfront costs, maintenance overhead, and the risk of owning quickly outdated hardware. However, this flexibility comes with potential long-term expense. Studies comparing the TCO consistently show a critical break-even point: if a GPU cluster is utilized intensively (often exceeding 70-80% usage) for a long duration (typically beyond 12-24 months), the </w:t>
      </w:r>
      <w:proofErr w:type="spellStart"/>
      <w:r w:rsidRPr="00AC1BEF">
        <w:rPr>
          <w:rFonts w:asciiTheme="minorHAnsi" w:hAnsiTheme="minorHAnsi"/>
          <w:lang w:val="en-IN"/>
        </w:rPr>
        <w:t>CapEx</w:t>
      </w:r>
      <w:proofErr w:type="spellEnd"/>
      <w:r w:rsidRPr="00AC1BEF">
        <w:rPr>
          <w:rFonts w:asciiTheme="minorHAnsi" w:hAnsiTheme="minorHAnsi"/>
          <w:lang w:val="en-IN"/>
        </w:rPr>
        <w:t xml:space="preserve"> of an on-premises solution generally results in a lower TCO than continuous cloud rental. The high cost of sustained, large-scale training workloads, such as those required for foundation LLMs, makes the TCO evaluation paramount (Raschka et al., 2020).</w:t>
      </w:r>
    </w:p>
    <w:p w14:paraId="2FF9C46C"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Crucial Hidden Costs in Cloud Deployment:</w:t>
      </w:r>
    </w:p>
    <w:p w14:paraId="1BF139A1" w14:textId="77777777" w:rsidR="00AC1BEF" w:rsidRPr="00AC1BEF" w:rsidRDefault="00AC1BEF" w:rsidP="00AC1BEF">
      <w:pPr>
        <w:numPr>
          <w:ilvl w:val="0"/>
          <w:numId w:val="12"/>
        </w:numPr>
        <w:tabs>
          <w:tab w:val="left" w:pos="709"/>
        </w:tabs>
        <w:spacing w:before="78"/>
        <w:ind w:right="144"/>
        <w:jc w:val="both"/>
        <w:rPr>
          <w:rFonts w:asciiTheme="minorHAnsi" w:hAnsiTheme="minorHAnsi"/>
          <w:lang w:val="en-IN"/>
        </w:rPr>
      </w:pPr>
      <w:r w:rsidRPr="00AC1BEF">
        <w:rPr>
          <w:rFonts w:asciiTheme="minorHAnsi" w:hAnsiTheme="minorHAnsi"/>
          <w:b/>
          <w:lang w:val="en-IN"/>
        </w:rPr>
        <w:t>Data Egress Fees:</w:t>
      </w:r>
      <w:r w:rsidRPr="00AC1BEF">
        <w:rPr>
          <w:rFonts w:asciiTheme="minorHAnsi" w:hAnsiTheme="minorHAnsi"/>
          <w:lang w:val="en-IN"/>
        </w:rPr>
        <w:t> Transferring massive datasets (terabytes or petabytes) out of a cloud provider's network (e.g., to a local machine or another cloud) incurs significant, often unpredictable, costs.</w:t>
      </w:r>
    </w:p>
    <w:p w14:paraId="103C9987" w14:textId="77777777" w:rsidR="00AC1BEF" w:rsidRPr="00AC1BEF" w:rsidRDefault="00AC1BEF" w:rsidP="00AC1BEF">
      <w:pPr>
        <w:numPr>
          <w:ilvl w:val="0"/>
          <w:numId w:val="12"/>
        </w:numPr>
        <w:tabs>
          <w:tab w:val="left" w:pos="709"/>
        </w:tabs>
        <w:spacing w:before="78"/>
        <w:ind w:right="144"/>
        <w:jc w:val="both"/>
        <w:rPr>
          <w:rFonts w:asciiTheme="minorHAnsi" w:hAnsiTheme="minorHAnsi"/>
          <w:lang w:val="en-IN"/>
        </w:rPr>
      </w:pPr>
      <w:r w:rsidRPr="00AC1BEF">
        <w:rPr>
          <w:rFonts w:asciiTheme="minorHAnsi" w:hAnsiTheme="minorHAnsi"/>
          <w:b/>
          <w:lang w:val="en-IN"/>
        </w:rPr>
        <w:t>Ancillary Services:</w:t>
      </w:r>
      <w:r w:rsidRPr="00AC1BEF">
        <w:rPr>
          <w:rFonts w:asciiTheme="minorHAnsi" w:hAnsiTheme="minorHAnsi"/>
          <w:lang w:val="en-IN"/>
        </w:rPr>
        <w:t> Storage (e.g., Object Storage, Block Storage), managed Kubernetes fees, and advanced networking features add to the base hourly GPU rate.</w:t>
      </w:r>
    </w:p>
    <w:p w14:paraId="7FDA80D1" w14:textId="77777777" w:rsidR="00AC1BEF" w:rsidRPr="00AC1BEF" w:rsidRDefault="00AC1BEF" w:rsidP="00AC1BEF">
      <w:pPr>
        <w:numPr>
          <w:ilvl w:val="0"/>
          <w:numId w:val="12"/>
        </w:numPr>
        <w:tabs>
          <w:tab w:val="left" w:pos="709"/>
        </w:tabs>
        <w:spacing w:before="78"/>
        <w:ind w:right="144"/>
        <w:jc w:val="both"/>
        <w:rPr>
          <w:rFonts w:asciiTheme="minorHAnsi" w:hAnsiTheme="minorHAnsi"/>
          <w:lang w:val="en-IN"/>
        </w:rPr>
      </w:pPr>
      <w:r w:rsidRPr="00AC1BEF">
        <w:rPr>
          <w:rFonts w:asciiTheme="minorHAnsi" w:hAnsiTheme="minorHAnsi"/>
          <w:b/>
          <w:lang w:val="en-IN"/>
        </w:rPr>
        <w:t>Idle Time:</w:t>
      </w:r>
      <w:r w:rsidRPr="00AC1BEF">
        <w:rPr>
          <w:rFonts w:asciiTheme="minorHAnsi" w:hAnsiTheme="minorHAnsi"/>
          <w:lang w:val="en-IN"/>
        </w:rPr>
        <w:t> Though pay-as-you-go is a benefit, forgetting to shut down large GPU instances can lead to rapid cost accumulation, undermining the claimed cost-effectiveness.</w:t>
      </w:r>
    </w:p>
    <w:p w14:paraId="7C8CDBA4"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3.3.2. Efficiency-Driven Cost Reduction</w:t>
      </w:r>
    </w:p>
    <w:p w14:paraId="42D31D63"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most effective strategy for mitigating cloud costs is to maximize </w:t>
      </w:r>
      <w:r w:rsidRPr="00AC1BEF">
        <w:rPr>
          <w:rFonts w:asciiTheme="minorHAnsi" w:hAnsiTheme="minorHAnsi"/>
          <w:i/>
          <w:lang w:val="en-IN"/>
        </w:rPr>
        <w:t>efficiency</w:t>
      </w:r>
      <w:r w:rsidRPr="00AC1BEF">
        <w:rPr>
          <w:rFonts w:asciiTheme="minorHAnsi" w:hAnsiTheme="minorHAnsi"/>
          <w:lang w:val="en-IN"/>
        </w:rPr>
        <w:t>—reducing the time-to-solution (Pandey et al., 2022). Every hour saved is an hour not billed. This is achieved through:</w:t>
      </w:r>
    </w:p>
    <w:p w14:paraId="381B2DB7" w14:textId="77777777" w:rsidR="00AC1BEF" w:rsidRPr="00AC1BEF" w:rsidRDefault="00AC1BEF" w:rsidP="00AC1BEF">
      <w:pPr>
        <w:numPr>
          <w:ilvl w:val="0"/>
          <w:numId w:val="13"/>
        </w:numPr>
        <w:tabs>
          <w:tab w:val="left" w:pos="709"/>
        </w:tabs>
        <w:spacing w:before="78"/>
        <w:ind w:right="144"/>
        <w:jc w:val="both"/>
        <w:rPr>
          <w:rFonts w:asciiTheme="minorHAnsi" w:hAnsiTheme="minorHAnsi"/>
          <w:lang w:val="en-IN"/>
        </w:rPr>
      </w:pPr>
      <w:r w:rsidRPr="00AC1BEF">
        <w:rPr>
          <w:rFonts w:asciiTheme="minorHAnsi" w:hAnsiTheme="minorHAnsi"/>
          <w:b/>
          <w:lang w:val="en-IN"/>
        </w:rPr>
        <w:t>Precision Optimization:</w:t>
      </w:r>
      <w:r w:rsidRPr="00AC1BEF">
        <w:rPr>
          <w:rFonts w:asciiTheme="minorHAnsi" w:hAnsiTheme="minorHAnsi"/>
          <w:lang w:val="en-IN"/>
        </w:rPr>
        <w:t> Utilizing Automatic Mixed Precision (AMP) and specialized low-bit formats (FP16, Bfloat16, FP8) allows the model to be trained faster, leveraging the Tensor Cores and reducing memory pressure, which decreases the total compute time needed.</w:t>
      </w:r>
    </w:p>
    <w:p w14:paraId="05B59BA7" w14:textId="77777777" w:rsidR="00AC1BEF" w:rsidRPr="00AC1BEF" w:rsidRDefault="00AC1BEF" w:rsidP="00AC1BEF">
      <w:pPr>
        <w:numPr>
          <w:ilvl w:val="0"/>
          <w:numId w:val="13"/>
        </w:numPr>
        <w:tabs>
          <w:tab w:val="left" w:pos="709"/>
        </w:tabs>
        <w:spacing w:before="78"/>
        <w:ind w:right="144"/>
        <w:jc w:val="both"/>
        <w:rPr>
          <w:rFonts w:asciiTheme="minorHAnsi" w:hAnsiTheme="minorHAnsi"/>
          <w:lang w:val="en-IN"/>
        </w:rPr>
      </w:pPr>
      <w:r w:rsidRPr="00AC1BEF">
        <w:rPr>
          <w:rFonts w:asciiTheme="minorHAnsi" w:hAnsiTheme="minorHAnsi"/>
          <w:b/>
          <w:lang w:val="en-IN"/>
        </w:rPr>
        <w:t>Batch Size Scaling:</w:t>
      </w:r>
      <w:r w:rsidRPr="00AC1BEF">
        <w:rPr>
          <w:rFonts w:asciiTheme="minorHAnsi" w:hAnsiTheme="minorHAnsi"/>
          <w:lang w:val="en-IN"/>
        </w:rPr>
        <w:t> Maximizing the batch size ensures the GPU's processing units are fully saturated, increasing throughput (images/second) and reducing wasted cycles due to context switching or memory latency.</w:t>
      </w:r>
    </w:p>
    <w:p w14:paraId="232104CD" w14:textId="77777777" w:rsidR="00AC1BEF" w:rsidRPr="00AC1BEF" w:rsidRDefault="00AC1BEF" w:rsidP="00AC1BEF">
      <w:pPr>
        <w:numPr>
          <w:ilvl w:val="0"/>
          <w:numId w:val="13"/>
        </w:numPr>
        <w:tabs>
          <w:tab w:val="left" w:pos="709"/>
        </w:tabs>
        <w:spacing w:before="78"/>
        <w:ind w:right="144"/>
        <w:jc w:val="both"/>
        <w:rPr>
          <w:rFonts w:asciiTheme="minorHAnsi" w:hAnsiTheme="minorHAnsi"/>
          <w:lang w:val="en-IN"/>
        </w:rPr>
      </w:pPr>
      <w:r w:rsidRPr="00AC1BEF">
        <w:rPr>
          <w:rFonts w:asciiTheme="minorHAnsi" w:hAnsiTheme="minorHAnsi"/>
          <w:b/>
          <w:lang w:val="en-IN"/>
        </w:rPr>
        <w:t>Storage Architecture:</w:t>
      </w:r>
      <w:r w:rsidRPr="00AC1BEF">
        <w:rPr>
          <w:rFonts w:asciiTheme="minorHAnsi" w:hAnsiTheme="minorHAnsi"/>
          <w:lang w:val="en-IN"/>
        </w:rPr>
        <w:t xml:space="preserve"> Training modern LLMs </w:t>
      </w:r>
      <w:r w:rsidRPr="00AC1BEF">
        <w:rPr>
          <w:rFonts w:asciiTheme="minorHAnsi" w:hAnsiTheme="minorHAnsi"/>
          <w:lang w:val="en-IN"/>
        </w:rPr>
        <w:lastRenderedPageBreak/>
        <w:t>requires constantly streaming massive amounts of data and checkpoint files. Huawei (2025) emphasized that storage architecture is critical for large AI models; slow data ingress can starve the GPU, resulting in high costs for low utilization. High-throughput, low-latency Parallel File Systems (PFS) or optimized object storage solutions are mandatory to maintain high GPU efficiency.</w:t>
      </w:r>
    </w:p>
    <w:p w14:paraId="44C1E99D"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3.3.3. Thermal and Acoustic Considerations</w:t>
      </w:r>
    </w:p>
    <w:p w14:paraId="5E2C0E44"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While primarily an on-premises concern, thermal and acoustic evaluations are increasingly relevant in cloud deployments, particularly in the context of energy efficiency and operational resilience (Lulla et al., 2025). The intense power draw of modern GPUs (often 700W per card) demands sophisticated cooling solutions, which cloud providers must embed into their infrastructure. The efficiency of this cooling infrastructure contributes to the overall power usage effectiveness (PUE) of the data </w:t>
      </w:r>
      <w:proofErr w:type="spellStart"/>
      <w:r w:rsidRPr="00AC1BEF">
        <w:rPr>
          <w:rFonts w:asciiTheme="minorHAnsi" w:hAnsiTheme="minorHAnsi"/>
          <w:lang w:val="en-IN"/>
        </w:rPr>
        <w:t>center</w:t>
      </w:r>
      <w:proofErr w:type="spellEnd"/>
      <w:r w:rsidRPr="00AC1BEF">
        <w:rPr>
          <w:rFonts w:asciiTheme="minorHAnsi" w:hAnsiTheme="minorHAnsi"/>
          <w:lang w:val="en-IN"/>
        </w:rPr>
        <w:t>, a cost that is implicitly passed on to the user. Monitoring these environmental factors is crucial for preventing thermal throttling and ensuring sustained, high-performance training runs, as power consumption and heat directly correlate with infrastructure cost.</w:t>
      </w:r>
    </w:p>
    <w:p w14:paraId="5B2C2590"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4. Discussion</w:t>
      </w:r>
    </w:p>
    <w:p w14:paraId="47A9DD81"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results demonstrate that the effectiveness of Cloud GPU architectures for modern AI training workloads is a systemic challenge, moving far beyond simple chip specifications. Optimal performance—defined by the confluence of Efficiency, Scalability, and Cost—requires a deliberate strategy across hardware, network, and software domains.</w:t>
      </w:r>
    </w:p>
    <w:p w14:paraId="5AA36FAF"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4.1. The Interdependence of E, S, and C</w:t>
      </w:r>
    </w:p>
    <w:p w14:paraId="4B0073E6"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three metrics </w:t>
      </w:r>
      <w:proofErr w:type="spellStart"/>
      <w:r w:rsidRPr="00AC1BEF">
        <w:rPr>
          <w:rFonts w:asciiTheme="minorHAnsi" w:hAnsiTheme="minorHAnsi"/>
          <w:lang w:val="en-IN"/>
        </w:rPr>
        <w:t>analyzed</w:t>
      </w:r>
      <w:proofErr w:type="spellEnd"/>
      <w:r w:rsidRPr="00AC1BEF">
        <w:rPr>
          <w:rFonts w:asciiTheme="minorHAnsi" w:hAnsiTheme="minorHAnsi"/>
          <w:lang w:val="en-IN"/>
        </w:rPr>
        <w:t xml:space="preserve"> are inextricably linked. Improved </w:t>
      </w:r>
      <w:r w:rsidRPr="00AC1BEF">
        <w:rPr>
          <w:rFonts w:asciiTheme="minorHAnsi" w:hAnsiTheme="minorHAnsi"/>
          <w:b/>
          <w:lang w:val="en-IN"/>
        </w:rPr>
        <w:t>Efficiency</w:t>
      </w:r>
      <w:r w:rsidRPr="00AC1BEF">
        <w:rPr>
          <w:rFonts w:asciiTheme="minorHAnsi" w:hAnsiTheme="minorHAnsi"/>
          <w:lang w:val="en-IN"/>
        </w:rPr>
        <w:t> (e.g., through mixed precision and Tensor Cores) directly leads to a reduction in </w:t>
      </w:r>
      <w:r w:rsidRPr="00AC1BEF">
        <w:rPr>
          <w:rFonts w:asciiTheme="minorHAnsi" w:hAnsiTheme="minorHAnsi"/>
          <w:b/>
          <w:lang w:val="en-IN"/>
        </w:rPr>
        <w:t>Cost</w:t>
      </w:r>
      <w:r w:rsidRPr="00AC1BEF">
        <w:rPr>
          <w:rFonts w:asciiTheme="minorHAnsi" w:hAnsiTheme="minorHAnsi"/>
          <w:lang w:val="en-IN"/>
        </w:rPr>
        <w:t> by minimizing the total billed clock time. Effective </w:t>
      </w:r>
      <w:r w:rsidRPr="00AC1BEF">
        <w:rPr>
          <w:rFonts w:asciiTheme="minorHAnsi" w:hAnsiTheme="minorHAnsi"/>
          <w:b/>
          <w:lang w:val="en-IN"/>
        </w:rPr>
        <w:t>Scalability</w:t>
      </w:r>
      <w:r w:rsidRPr="00AC1BEF">
        <w:rPr>
          <w:rFonts w:asciiTheme="minorHAnsi" w:hAnsiTheme="minorHAnsi"/>
          <w:lang w:val="en-IN"/>
        </w:rPr>
        <w:t xml:space="preserve"> (e.g., through InfiniBand interconnects and distributed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frameworks) enables the use of larger batch sizes and larger models, accelerating the discovery process and reducing the time-to-market, which is an indirect but massive </w:t>
      </w:r>
      <w:r w:rsidRPr="00AC1BEF">
        <w:rPr>
          <w:rFonts w:asciiTheme="minorHAnsi" w:hAnsiTheme="minorHAnsi"/>
          <w:b/>
          <w:lang w:val="en-IN"/>
        </w:rPr>
        <w:t>Cost</w:t>
      </w:r>
      <w:r w:rsidRPr="00AC1BEF">
        <w:rPr>
          <w:rFonts w:asciiTheme="minorHAnsi" w:hAnsiTheme="minorHAnsi"/>
          <w:lang w:val="en-IN"/>
        </w:rPr>
        <w:t> saving (Jaspreet Singh, 2023). A poorly optimized, non-scalable architecture is thus not just slow, it is prohibitively expensive in the cloud environment.</w:t>
      </w:r>
    </w:p>
    <w:p w14:paraId="6B6B2AE6"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benchmarking literature underscores this point. Manav Madan et al. (2021) compared benchmarks for machine learning cloud infrastructures, showing wide variance in actual delivered performance across providers, even on ostensibly similar hardware. This </w:t>
      </w:r>
      <w:r w:rsidRPr="00AC1BEF">
        <w:rPr>
          <w:rFonts w:asciiTheme="minorHAnsi" w:hAnsiTheme="minorHAnsi"/>
          <w:lang w:val="en-IN"/>
        </w:rPr>
        <w:t>variability highlights that the "cloud architecture" is a holistic concept encompassing the virtualization layer, the network fabric, and the job scheduler (Xiao et al., 2018), not just the GPU model itself. Choosing a cloud provider or solution must involve rigorous, workload-specific benchmarking to ensure that the billed time translates into maximum computational output (Albert Reuther et al., 2019).</w:t>
      </w:r>
    </w:p>
    <w:p w14:paraId="0959AC6C"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4.2. The Evolution from General-Purpose to Specialized AI Hardware</w:t>
      </w:r>
    </w:p>
    <w:p w14:paraId="5038703E"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foundational advantage of the GPU lies in its massive parallelism (Baji, 2017), but the future of AI computation, particularly for edge devices and specialized services, suggests a further divergence. </w:t>
      </w:r>
      <w:proofErr w:type="spellStart"/>
      <w:r w:rsidRPr="00AC1BEF">
        <w:rPr>
          <w:rFonts w:asciiTheme="minorHAnsi" w:hAnsiTheme="minorHAnsi"/>
          <w:lang w:val="en-IN"/>
        </w:rPr>
        <w:t>Gadiyar</w:t>
      </w:r>
      <w:proofErr w:type="spellEnd"/>
      <w:r w:rsidRPr="00AC1BEF">
        <w:rPr>
          <w:rFonts w:asciiTheme="minorHAnsi" w:hAnsiTheme="minorHAnsi"/>
          <w:lang w:val="en-IN"/>
        </w:rPr>
        <w:t xml:space="preserve"> et al. (2018) discussed the rise of AI software and hardware platforms, noting the trend towards domain-specific acceleration. While the general-purpose cloud GPU remains dominant for the bulk of large-scale training due to its flexibility, efficiency gains at the perimeter are being captured by specialized hardware.</w:t>
      </w:r>
    </w:p>
    <w:p w14:paraId="2036DF87"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The shift toward non-GPU accelerators (like ASICs or even neuromorphic computing, as noted by Catherine D. Schuman et al., 2022) is primarily driven by the need for superior energy efficiency and cost reduction at scale, particularly for inference workloads, though some specialized training tasks benefit. For instance, in-memory computation techniques (Jintao Zhang et al., 2017) offer a radical departure from the Von Neumann bottleneck, promising future pathways for highly efficient, dense AI processing. The cloud platforms of the future are likely to adopt a hybrid multi-accelerator approach, where users select the specific hardware (GPU, TPU, FPGA) that provides the best TCO for their unique training or inference profile.</w:t>
      </w:r>
    </w:p>
    <w:p w14:paraId="742A122F"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4.3. Strategic Deployment and Organizational Impact</w:t>
      </w:r>
    </w:p>
    <w:p w14:paraId="0D08949B"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The decision to adopt a Cloud GPU architecture is inherently strategic, affecting everything from research agility to financial compliance. For organizations dealing with sensitive or regulated data, the security advantages of an on-premises solution (where data remains within the enterprise network) may outweigh the flexibility of the cloud (Batra et al., 2019). However, the immediate access to massive scale for training LLMs or complex generative models often necessitates cloud adoption due to the prohibitive </w:t>
      </w:r>
      <w:proofErr w:type="spellStart"/>
      <w:r w:rsidRPr="00AC1BEF">
        <w:rPr>
          <w:rFonts w:asciiTheme="minorHAnsi" w:hAnsiTheme="minorHAnsi"/>
          <w:lang w:val="en-IN"/>
        </w:rPr>
        <w:t>CapEx</w:t>
      </w:r>
      <w:proofErr w:type="spellEnd"/>
      <w:r w:rsidRPr="00AC1BEF">
        <w:rPr>
          <w:rFonts w:asciiTheme="minorHAnsi" w:hAnsiTheme="minorHAnsi"/>
          <w:lang w:val="en-IN"/>
        </w:rPr>
        <w:t xml:space="preserve"> and procurement timelines of building equivalent private infrastructure.</w:t>
      </w:r>
    </w:p>
    <w:p w14:paraId="1D39B7C8"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Furthermore, the impact of AI extends beyond computation into social domains, necessitating a </w:t>
      </w:r>
      <w:r w:rsidRPr="00AC1BEF">
        <w:rPr>
          <w:rFonts w:asciiTheme="minorHAnsi" w:hAnsiTheme="minorHAnsi"/>
          <w:lang w:val="en-IN"/>
        </w:rPr>
        <w:lastRenderedPageBreak/>
        <w:t xml:space="preserve">focus on responsible deployment. For instance, the use of AI in journalistic </w:t>
      </w:r>
      <w:proofErr w:type="spellStart"/>
      <w:r w:rsidRPr="00AC1BEF">
        <w:rPr>
          <w:rFonts w:asciiTheme="minorHAnsi" w:hAnsiTheme="minorHAnsi"/>
          <w:lang w:val="en-IN"/>
        </w:rPr>
        <w:t>endeavors</w:t>
      </w:r>
      <w:proofErr w:type="spellEnd"/>
      <w:r w:rsidRPr="00AC1BEF">
        <w:rPr>
          <w:rFonts w:asciiTheme="minorHAnsi" w:hAnsiTheme="minorHAnsi"/>
          <w:lang w:val="en-IN"/>
        </w:rPr>
        <w:t xml:space="preserve"> and fact-checking platforms to combat misinformation requires transparent and reproducible computational methods (Chanakya C. N, 2022; CN, C., 2022; Chanakya C.N., 2022). Cloud architectures, by offering standardized environments (e.g., Docker containers with pre-configured frameworks), can aid in the reproducibility and auditability of these critical models, ensuring that the technology is deployed ethically and reliably.</w:t>
      </w:r>
    </w:p>
    <w:p w14:paraId="4A4C3358"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Ultimately, the choice of a Cloud GPU architecture must align with the organization’s long-term utilization profile. Short-term, sporadic, or exploratory projects are undeniably best served by the </w:t>
      </w:r>
      <w:proofErr w:type="spellStart"/>
      <w:r w:rsidRPr="00AC1BEF">
        <w:rPr>
          <w:rFonts w:asciiTheme="minorHAnsi" w:hAnsiTheme="minorHAnsi"/>
          <w:lang w:val="en-IN"/>
        </w:rPr>
        <w:t>OpEx</w:t>
      </w:r>
      <w:proofErr w:type="spellEnd"/>
      <w:r w:rsidRPr="00AC1BEF">
        <w:rPr>
          <w:rFonts w:asciiTheme="minorHAnsi" w:hAnsiTheme="minorHAnsi"/>
          <w:lang w:val="en-IN"/>
        </w:rPr>
        <w:t xml:space="preserve"> cloud model. However, for organizations with predictable, high-intensity AI training workloads (e.g., training a new version of a 100-billion parameter LLM every quarter), the economic model </w:t>
      </w:r>
      <w:proofErr w:type="spellStart"/>
      <w:r w:rsidRPr="00AC1BEF">
        <w:rPr>
          <w:rFonts w:asciiTheme="minorHAnsi" w:hAnsiTheme="minorHAnsi"/>
          <w:lang w:val="en-IN"/>
        </w:rPr>
        <w:t>favors</w:t>
      </w:r>
      <w:proofErr w:type="spellEnd"/>
      <w:r w:rsidRPr="00AC1BEF">
        <w:rPr>
          <w:rFonts w:asciiTheme="minorHAnsi" w:hAnsiTheme="minorHAnsi"/>
          <w:lang w:val="en-IN"/>
        </w:rPr>
        <w:t xml:space="preserve"> the eventual shift back toward dedicated, optimized, and heavily utilized private or hybrid infrastructure to realize significant TCO savings over multiple years.</w:t>
      </w:r>
    </w:p>
    <w:p w14:paraId="685A9FF1"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5. Conclusion</w:t>
      </w:r>
    </w:p>
    <w:p w14:paraId="77B6CCBF"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Cloud GPU architectures are currently the most vital and dominant platform facilitating the development and training of modern, large-scale AI models. Their success is rooted in the intrinsic parallel nature of the GPU (Baji, 2017; </w:t>
      </w:r>
      <w:proofErr w:type="spellStart"/>
      <w:r w:rsidRPr="00AC1BEF">
        <w:rPr>
          <w:rFonts w:asciiTheme="minorHAnsi" w:hAnsiTheme="minorHAnsi"/>
          <w:lang w:val="en-IN"/>
        </w:rPr>
        <w:t>Madiajagan</w:t>
      </w:r>
      <w:proofErr w:type="spellEnd"/>
      <w:r w:rsidRPr="00AC1BEF">
        <w:rPr>
          <w:rFonts w:asciiTheme="minorHAnsi" w:hAnsiTheme="minorHAnsi"/>
          <w:lang w:val="en-IN"/>
        </w:rPr>
        <w:t xml:space="preserve"> &amp; Raj, 2019) combined with the elastic, on-demand provision of computational resources by cloud providers (Gupta, 2021). Our comprehensive analysis across Efficiency, Scalability, and Cost reveals a complex but navigable landscape defined by critical dependencies between hardware, software, and economic strategy.</w:t>
      </w:r>
    </w:p>
    <w:p w14:paraId="3AD9A051"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Regarding </w:t>
      </w:r>
      <w:r w:rsidRPr="00AC1BEF">
        <w:rPr>
          <w:rFonts w:asciiTheme="minorHAnsi" w:hAnsiTheme="minorHAnsi"/>
          <w:b/>
          <w:lang w:val="en-IN"/>
        </w:rPr>
        <w:t>Efficiency</w:t>
      </w:r>
      <w:r w:rsidRPr="00AC1BEF">
        <w:rPr>
          <w:rFonts w:asciiTheme="minorHAnsi" w:hAnsiTheme="minorHAnsi"/>
          <w:lang w:val="en-IN"/>
        </w:rPr>
        <w:t>, modern cloud GPU performance is maximized not just by core count, but by specialized features such as Tensor Cores, high-throughput HBM, and advanced software layers including compiler optimization (Tianqi Chen et al., 2018) and framework-level distribution libraries (Shen Li et al., 2020). Architectural efficiency is paramount, as every reduction in training time directly reduces the operational cost.</w:t>
      </w:r>
    </w:p>
    <w:p w14:paraId="49E810AD"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In terms of </w:t>
      </w:r>
      <w:r w:rsidRPr="00AC1BEF">
        <w:rPr>
          <w:rFonts w:asciiTheme="minorHAnsi" w:hAnsiTheme="minorHAnsi"/>
          <w:b/>
          <w:lang w:val="en-IN"/>
        </w:rPr>
        <w:t>Scalability</w:t>
      </w:r>
      <w:r w:rsidRPr="00AC1BEF">
        <w:rPr>
          <w:rFonts w:asciiTheme="minorHAnsi" w:hAnsiTheme="minorHAnsi"/>
          <w:lang w:val="en-IN"/>
        </w:rPr>
        <w:t>, the ability to connect hundreds of GPUs efficiently is predicated on ultra-low-latency network fabrics like InfiniBand (Luo Mai et al.) and sophisticated resource scheduling that prevents CPU starvation of the GPUs (Xiao et al., 2018). Effective scaling is the core enabler for training the massive models that define the current state of AI technology.</w:t>
      </w:r>
    </w:p>
    <w:p w14:paraId="66D4A11A"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Finally, the </w:t>
      </w:r>
      <w:r w:rsidRPr="00AC1BEF">
        <w:rPr>
          <w:rFonts w:asciiTheme="minorHAnsi" w:hAnsiTheme="minorHAnsi"/>
          <w:b/>
          <w:lang w:val="en-IN"/>
        </w:rPr>
        <w:t>Cost Analysis</w:t>
      </w:r>
      <w:r w:rsidRPr="00AC1BEF">
        <w:rPr>
          <w:rFonts w:asciiTheme="minorHAnsi" w:hAnsiTheme="minorHAnsi"/>
          <w:lang w:val="en-IN"/>
        </w:rPr>
        <w:t xml:space="preserve"> confirms that while the </w:t>
      </w:r>
      <w:r w:rsidRPr="00AC1BEF">
        <w:rPr>
          <w:rFonts w:asciiTheme="minorHAnsi" w:hAnsiTheme="minorHAnsi"/>
          <w:lang w:val="en-IN"/>
        </w:rPr>
        <w:t xml:space="preserve">cloud offers unparalleled agility and low initial entry barriers, the total cost of ownership for sustained, high-utilization training workloads will eventually </w:t>
      </w:r>
      <w:proofErr w:type="spellStart"/>
      <w:r w:rsidRPr="00AC1BEF">
        <w:rPr>
          <w:rFonts w:asciiTheme="minorHAnsi" w:hAnsiTheme="minorHAnsi"/>
          <w:lang w:val="en-IN"/>
        </w:rPr>
        <w:t>favor</w:t>
      </w:r>
      <w:proofErr w:type="spellEnd"/>
      <w:r w:rsidRPr="00AC1BEF">
        <w:rPr>
          <w:rFonts w:asciiTheme="minorHAnsi" w:hAnsiTheme="minorHAnsi"/>
          <w:lang w:val="en-IN"/>
        </w:rPr>
        <w:t xml:space="preserve"> dedicated or hybrid infrastructure over continuous public cloud rental. Strategic cost management requires detailed benchmarking (Manav Madan et al., 2021), meticulous optimization (e.g., precision tuning), and careful attention to ancillary costs like high-throughput storage (Huawei, 2025) and power consumption (Lulla et al., 2025).</w:t>
      </w:r>
    </w:p>
    <w:p w14:paraId="06353DA3" w14:textId="77777777" w:rsidR="00AC1BEF" w:rsidRPr="00AC1BEF" w:rsidRDefault="00AC1BEF" w:rsidP="00AC1BEF">
      <w:pPr>
        <w:tabs>
          <w:tab w:val="left" w:pos="709"/>
        </w:tabs>
        <w:spacing w:before="78"/>
        <w:ind w:right="144"/>
        <w:jc w:val="both"/>
        <w:rPr>
          <w:rFonts w:asciiTheme="minorHAnsi" w:hAnsiTheme="minorHAnsi"/>
          <w:lang w:val="en-IN"/>
        </w:rPr>
      </w:pPr>
      <w:r w:rsidRPr="00AC1BEF">
        <w:rPr>
          <w:rFonts w:asciiTheme="minorHAnsi" w:hAnsiTheme="minorHAnsi"/>
          <w:lang w:val="en-IN"/>
        </w:rPr>
        <w:t>In conclusion, the future of AI training lies in a finely tuned hybrid ecosystem where Cloud GPU architectures provide the necessary elasticity and cutting-edge hardware access for innovation, while efficiency and cost considerations drive organizations toward rigorous workload characterization and strategic infrastructure deployment. This systematic approach is essential for sustaining the current trajectory of AI advancement into the next generation of intelligent systems (Zhang &amp; Lu, 2021).</w:t>
      </w:r>
    </w:p>
    <w:p w14:paraId="438A4BDD" w14:textId="77777777" w:rsidR="00AC1BEF" w:rsidRPr="00AC1BEF" w:rsidRDefault="00AC1BEF" w:rsidP="00AC1BEF">
      <w:pPr>
        <w:tabs>
          <w:tab w:val="left" w:pos="709"/>
        </w:tabs>
        <w:spacing w:before="78"/>
        <w:ind w:right="144"/>
        <w:jc w:val="both"/>
        <w:rPr>
          <w:rFonts w:asciiTheme="minorHAnsi" w:hAnsiTheme="minorHAnsi"/>
          <w:b/>
          <w:lang w:val="en-IN"/>
        </w:rPr>
      </w:pPr>
      <w:r w:rsidRPr="00AC1BEF">
        <w:rPr>
          <w:rFonts w:asciiTheme="minorHAnsi" w:hAnsiTheme="minorHAnsi"/>
          <w:b/>
          <w:lang w:val="en-IN"/>
        </w:rPr>
        <w:t>References</w:t>
      </w:r>
    </w:p>
    <w:p w14:paraId="2B8D3939" w14:textId="6C223734"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Albert Reuther et al., "Survey and Benchmarking of Machine Learning Accelerators," </w:t>
      </w:r>
      <w:proofErr w:type="spellStart"/>
      <w:r w:rsidRPr="00AC1BEF">
        <w:rPr>
          <w:rFonts w:asciiTheme="minorHAnsi" w:hAnsiTheme="minorHAnsi"/>
          <w:lang w:val="en-IN"/>
        </w:rPr>
        <w:t>arxiv</w:t>
      </w:r>
      <w:proofErr w:type="spellEnd"/>
      <w:r w:rsidRPr="00AC1BEF">
        <w:rPr>
          <w:rFonts w:asciiTheme="minorHAnsi" w:hAnsiTheme="minorHAnsi"/>
          <w:lang w:val="en-IN"/>
        </w:rPr>
        <w:t>, 2019. [Online]. Available: </w:t>
      </w:r>
      <w:hyperlink r:id="rId12" w:history="1">
        <w:r w:rsidRPr="00AC1BEF">
          <w:rPr>
            <w:rStyle w:val="Hyperlink"/>
            <w:rFonts w:asciiTheme="minorHAnsi" w:hAnsiTheme="minorHAnsi"/>
            <w:lang w:val="en-IN"/>
          </w:rPr>
          <w:t>https://arxiv.org/pdf/1908.11348</w:t>
        </w:r>
      </w:hyperlink>
    </w:p>
    <w:p w14:paraId="63D914AD"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Baji, T. (2017, July). GPU: the biggest key processor for AI and parallel processing. In </w:t>
      </w:r>
      <w:r w:rsidRPr="00AC1BEF">
        <w:rPr>
          <w:rFonts w:asciiTheme="minorHAnsi" w:hAnsiTheme="minorHAnsi"/>
          <w:i/>
          <w:lang w:val="en-IN"/>
        </w:rPr>
        <w:t>Photomask Japan 2017: XXIV symposium on photomask and next-generation lithography mask technology</w:t>
      </w:r>
      <w:r w:rsidRPr="00AC1BEF">
        <w:rPr>
          <w:rFonts w:asciiTheme="minorHAnsi" w:hAnsiTheme="minorHAnsi"/>
          <w:lang w:val="en-IN"/>
        </w:rPr>
        <w:t> (Vol. 10454, pp. 24-29). SPIE.</w:t>
      </w:r>
    </w:p>
    <w:p w14:paraId="19FB09F1"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Batra, G., Jacobson, Z., Madhav, S., Queirolo, A., &amp; Santhanam, N. (2019). Artificial-intelligence hardware: New opportunities for semiconductor companies. </w:t>
      </w:r>
      <w:r w:rsidRPr="00AC1BEF">
        <w:rPr>
          <w:rFonts w:asciiTheme="minorHAnsi" w:hAnsiTheme="minorHAnsi"/>
          <w:i/>
          <w:lang w:val="en-IN"/>
        </w:rPr>
        <w:t>McKinsey and Company, 2</w:t>
      </w:r>
      <w:r w:rsidRPr="00AC1BEF">
        <w:rPr>
          <w:rFonts w:asciiTheme="minorHAnsi" w:hAnsiTheme="minorHAnsi"/>
          <w:lang w:val="en-IN"/>
        </w:rPr>
        <w:t>.</w:t>
      </w:r>
    </w:p>
    <w:p w14:paraId="4EB914E7"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Catherine D. Schuman et al., "Opportunities for neuromorphic computing algorithms and applications," </w:t>
      </w:r>
      <w:r w:rsidRPr="00AC1BEF">
        <w:rPr>
          <w:rFonts w:asciiTheme="minorHAnsi" w:hAnsiTheme="minorHAnsi"/>
          <w:i/>
          <w:lang w:val="en-IN"/>
        </w:rPr>
        <w:t>Nature Computational Science 2</w:t>
      </w:r>
      <w:r w:rsidRPr="00AC1BEF">
        <w:rPr>
          <w:rFonts w:asciiTheme="minorHAnsi" w:hAnsiTheme="minorHAnsi"/>
          <w:lang w:val="en-IN"/>
        </w:rPr>
        <w:t>(1):10-19, 2022. [Online]. Available: </w:t>
      </w:r>
      <w:hyperlink r:id="rId13" w:tgtFrame="_blank" w:history="1">
        <w:r w:rsidRPr="00AC1BEF">
          <w:rPr>
            <w:rStyle w:val="Hyperlink"/>
            <w:rFonts w:asciiTheme="minorHAnsi" w:hAnsiTheme="minorHAnsi"/>
            <w:lang w:val="en-IN"/>
          </w:rPr>
          <w:t>https://www.researchgate.net/publication/358255092_Opportunities_for_neuromorphic_computing_algorithms_and_applications</w:t>
        </w:r>
      </w:hyperlink>
    </w:p>
    <w:p w14:paraId="2D63BE28"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Chanakya C. N (2022). Combating Misinformation: The Role of Fact-Checking Platforms in Restoring Public Trust. </w:t>
      </w:r>
      <w:r w:rsidRPr="00AC1BEF">
        <w:rPr>
          <w:rFonts w:asciiTheme="minorHAnsi" w:hAnsiTheme="minorHAnsi"/>
          <w:i/>
          <w:lang w:val="en-IN"/>
        </w:rPr>
        <w:t>Journal of Business, IT, and Social Science</w:t>
      </w:r>
      <w:r w:rsidRPr="00AC1BEF">
        <w:rPr>
          <w:rFonts w:asciiTheme="minorHAnsi" w:hAnsiTheme="minorHAnsi"/>
          <w:lang w:val="en-IN"/>
        </w:rPr>
        <w:t>. DOI: </w:t>
      </w:r>
      <w:hyperlink r:id="rId14" w:tgtFrame="_blank" w:history="1">
        <w:r w:rsidRPr="00AC1BEF">
          <w:rPr>
            <w:rStyle w:val="Hyperlink"/>
            <w:rFonts w:asciiTheme="minorHAnsi" w:hAnsiTheme="minorHAnsi"/>
            <w:lang w:val="en-IN"/>
          </w:rPr>
          <w:t>https://doi.org/10.51470/BITS.2022.01.02.08</w:t>
        </w:r>
      </w:hyperlink>
    </w:p>
    <w:p w14:paraId="6682CF02"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Chanakya C.N. (2022). AI and the Newsroom: The Impact of Artificial Intelligence on Journalistic."</w:t>
      </w:r>
    </w:p>
    <w:p w14:paraId="434C6EB2"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CN, C. (2022). Combating Misinformation: The role of Fact-Checking Platforms in restoring </w:t>
      </w:r>
      <w:proofErr w:type="gramStart"/>
      <w:r w:rsidRPr="00AC1BEF">
        <w:rPr>
          <w:rFonts w:asciiTheme="minorHAnsi" w:hAnsiTheme="minorHAnsi"/>
          <w:lang w:val="en-IN"/>
        </w:rPr>
        <w:t>Public</w:t>
      </w:r>
      <w:proofErr w:type="gramEnd"/>
      <w:r w:rsidRPr="00AC1BEF">
        <w:rPr>
          <w:rFonts w:asciiTheme="minorHAnsi" w:hAnsiTheme="minorHAnsi"/>
          <w:lang w:val="en-IN"/>
        </w:rPr>
        <w:t xml:space="preserve"> trust. </w:t>
      </w:r>
      <w:r w:rsidRPr="00AC1BEF">
        <w:rPr>
          <w:rFonts w:asciiTheme="minorHAnsi" w:hAnsiTheme="minorHAnsi"/>
          <w:i/>
          <w:lang w:val="en-IN"/>
        </w:rPr>
        <w:t xml:space="preserve">Journal of Business It and Social Science, </w:t>
      </w:r>
      <w:r w:rsidRPr="00AC1BEF">
        <w:rPr>
          <w:rFonts w:asciiTheme="minorHAnsi" w:hAnsiTheme="minorHAnsi"/>
          <w:i/>
          <w:lang w:val="en-IN"/>
        </w:rPr>
        <w:lastRenderedPageBreak/>
        <w:t>1</w:t>
      </w:r>
      <w:r w:rsidRPr="00AC1BEF">
        <w:rPr>
          <w:rFonts w:asciiTheme="minorHAnsi" w:hAnsiTheme="minorHAnsi"/>
          <w:lang w:val="en-IN"/>
        </w:rPr>
        <w:t>(2), 8–12. </w:t>
      </w:r>
      <w:hyperlink r:id="rId15" w:tgtFrame="_blank" w:history="1">
        <w:r w:rsidRPr="00AC1BEF">
          <w:rPr>
            <w:rStyle w:val="Hyperlink"/>
            <w:rFonts w:asciiTheme="minorHAnsi" w:hAnsiTheme="minorHAnsi"/>
            <w:lang w:val="en-IN"/>
          </w:rPr>
          <w:t>https://doi.org/10.51470/bits.2022.01.02.08</w:t>
        </w:r>
      </w:hyperlink>
    </w:p>
    <w:p w14:paraId="663F7CE0"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proofErr w:type="spellStart"/>
      <w:r w:rsidRPr="00AC1BEF">
        <w:rPr>
          <w:rFonts w:asciiTheme="minorHAnsi" w:hAnsiTheme="minorHAnsi"/>
          <w:lang w:val="en-IN"/>
        </w:rPr>
        <w:t>Gadiyar</w:t>
      </w:r>
      <w:proofErr w:type="spellEnd"/>
      <w:r w:rsidRPr="00AC1BEF">
        <w:rPr>
          <w:rFonts w:asciiTheme="minorHAnsi" w:hAnsiTheme="minorHAnsi"/>
          <w:lang w:val="en-IN"/>
        </w:rPr>
        <w:t>, R., Zhang, T., &amp; Sankaranarayanan, A. (2018). Artificial intelligence software and hardware platforms. In </w:t>
      </w:r>
      <w:r w:rsidRPr="00AC1BEF">
        <w:rPr>
          <w:rFonts w:asciiTheme="minorHAnsi" w:hAnsiTheme="minorHAnsi"/>
          <w:i/>
          <w:lang w:val="en-IN"/>
        </w:rPr>
        <w:t>Artificial intelligence for autonomous networks</w:t>
      </w:r>
      <w:r w:rsidRPr="00AC1BEF">
        <w:rPr>
          <w:rFonts w:asciiTheme="minorHAnsi" w:hAnsiTheme="minorHAnsi"/>
          <w:lang w:val="en-IN"/>
        </w:rPr>
        <w:t> (pp. 165-188). Chapman and Hall/CRC.</w:t>
      </w:r>
    </w:p>
    <w:p w14:paraId="2CA691E4"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Gupta, N. (2021). Introduction to hardware accelerator systems for artificial intelligence and machine learning. In </w:t>
      </w:r>
      <w:r w:rsidRPr="00AC1BEF">
        <w:rPr>
          <w:rFonts w:asciiTheme="minorHAnsi" w:hAnsiTheme="minorHAnsi"/>
          <w:i/>
          <w:lang w:val="en-IN"/>
        </w:rPr>
        <w:t>Advances in Computers</w:t>
      </w:r>
      <w:r w:rsidRPr="00AC1BEF">
        <w:rPr>
          <w:rFonts w:asciiTheme="minorHAnsi" w:hAnsiTheme="minorHAnsi"/>
          <w:lang w:val="en-IN"/>
        </w:rPr>
        <w:t> (Vol. 122, pp. 1-21). Elsevier.</w:t>
      </w:r>
    </w:p>
    <w:p w14:paraId="0D379C9E"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Huawei, "What Kind of Storage Architecture Is Best for Large AI Models?" eHuawei.com, 2025. [Online]. Available: </w:t>
      </w:r>
      <w:hyperlink r:id="rId16" w:tgtFrame="_blank" w:history="1">
        <w:r w:rsidRPr="00AC1BEF">
          <w:rPr>
            <w:rStyle w:val="Hyperlink"/>
            <w:rFonts w:asciiTheme="minorHAnsi" w:hAnsiTheme="minorHAnsi"/>
            <w:lang w:val="en-IN"/>
          </w:rPr>
          <w:t>https://e.huawei.com/au/blogs/storage/2023/storage-architecture-ai-model</w:t>
        </w:r>
      </w:hyperlink>
    </w:p>
    <w:p w14:paraId="29800323"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Jaspreet Singh (2023). Change Management in the Digital Era: Overcoming Resistance and Driving Innovation. </w:t>
      </w:r>
      <w:r w:rsidRPr="00AC1BEF">
        <w:rPr>
          <w:rFonts w:asciiTheme="minorHAnsi" w:hAnsiTheme="minorHAnsi"/>
          <w:i/>
          <w:lang w:val="en-IN"/>
        </w:rPr>
        <w:t>Journal of e-Science Letters</w:t>
      </w:r>
      <w:r w:rsidRPr="00AC1BEF">
        <w:rPr>
          <w:rFonts w:asciiTheme="minorHAnsi" w:hAnsiTheme="minorHAnsi"/>
          <w:lang w:val="en-IN"/>
        </w:rPr>
        <w:t>. DOI: </w:t>
      </w:r>
      <w:hyperlink r:id="rId17" w:tgtFrame="_blank" w:history="1">
        <w:r w:rsidRPr="00AC1BEF">
          <w:rPr>
            <w:rStyle w:val="Hyperlink"/>
            <w:rFonts w:asciiTheme="minorHAnsi" w:hAnsiTheme="minorHAnsi"/>
            <w:lang w:val="en-IN"/>
          </w:rPr>
          <w:t>https://doi.org/10.51470/eSL.2023.4.3.07</w:t>
        </w:r>
      </w:hyperlink>
    </w:p>
    <w:p w14:paraId="2F050FDC"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Jintao Zhang et al., "In-Memory Computation of a Machine-Learning Classifier in a Standard 6T SRAM Array," </w:t>
      </w:r>
      <w:r w:rsidRPr="00AC1BEF">
        <w:rPr>
          <w:rFonts w:asciiTheme="minorHAnsi" w:hAnsiTheme="minorHAnsi"/>
          <w:i/>
          <w:lang w:val="en-IN"/>
        </w:rPr>
        <w:t xml:space="preserve">IEEE Journal </w:t>
      </w:r>
      <w:proofErr w:type="gramStart"/>
      <w:r w:rsidRPr="00AC1BEF">
        <w:rPr>
          <w:rFonts w:asciiTheme="minorHAnsi" w:hAnsiTheme="minorHAnsi"/>
          <w:i/>
          <w:lang w:val="en-IN"/>
        </w:rPr>
        <w:t>Of</w:t>
      </w:r>
      <w:proofErr w:type="gramEnd"/>
      <w:r w:rsidRPr="00AC1BEF">
        <w:rPr>
          <w:rFonts w:asciiTheme="minorHAnsi" w:hAnsiTheme="minorHAnsi"/>
          <w:i/>
          <w:lang w:val="en-IN"/>
        </w:rPr>
        <w:t xml:space="preserve"> Solid-State Circuits</w:t>
      </w:r>
      <w:r w:rsidRPr="00AC1BEF">
        <w:rPr>
          <w:rFonts w:asciiTheme="minorHAnsi" w:hAnsiTheme="minorHAnsi"/>
          <w:lang w:val="en-IN"/>
        </w:rPr>
        <w:t>, 2017. [Online]. Available: </w:t>
      </w:r>
      <w:hyperlink r:id="rId18" w:tgtFrame="_blank" w:history="1">
        <w:r w:rsidRPr="00AC1BEF">
          <w:rPr>
            <w:rStyle w:val="Hyperlink"/>
            <w:rFonts w:asciiTheme="minorHAnsi" w:hAnsiTheme="minorHAnsi"/>
            <w:lang w:val="en-IN"/>
          </w:rPr>
          <w:t>https://www.princeton.edu/~nverma/VermaLabSite/Publications/2017/ZhangWangVerma_JSSC2017.pdf</w:t>
        </w:r>
      </w:hyperlink>
      <w:r w:rsidRPr="00AC1BEF">
        <w:rPr>
          <w:rFonts w:asciiTheme="minorHAnsi" w:hAnsiTheme="minorHAnsi"/>
          <w:lang w:val="en-IN"/>
        </w:rPr>
        <w:t>.</w:t>
      </w:r>
    </w:p>
    <w:p w14:paraId="703E42F6"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John E. Stone et al., "OpenCL: A Parallel Programming Standard for Heterogeneous Computing Systems," </w:t>
      </w:r>
      <w:r w:rsidRPr="00AC1BEF">
        <w:rPr>
          <w:rFonts w:asciiTheme="minorHAnsi" w:hAnsiTheme="minorHAnsi"/>
          <w:i/>
          <w:lang w:val="en-IN"/>
        </w:rPr>
        <w:t>Computing in Science &amp; Engineering 12</w:t>
      </w:r>
      <w:r w:rsidRPr="00AC1BEF">
        <w:rPr>
          <w:rFonts w:asciiTheme="minorHAnsi" w:hAnsiTheme="minorHAnsi"/>
          <w:lang w:val="en-IN"/>
        </w:rPr>
        <w:t>(3):66-72, 2010. [Online]. Available: </w:t>
      </w:r>
      <w:hyperlink r:id="rId19" w:tgtFrame="_blank" w:history="1">
        <w:r w:rsidRPr="00AC1BEF">
          <w:rPr>
            <w:rStyle w:val="Hyperlink"/>
            <w:rFonts w:asciiTheme="minorHAnsi" w:hAnsiTheme="minorHAnsi"/>
            <w:lang w:val="en-IN"/>
          </w:rPr>
          <w:t>https://www.researchgate.net/publication/47636665_OpenCL_A_Parallel_Programming_Standard_for_Heterogeneous_Computing_Systems</w:t>
        </w:r>
      </w:hyperlink>
    </w:p>
    <w:p w14:paraId="1F9BC19E"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Lemley, J., </w:t>
      </w:r>
      <w:proofErr w:type="spellStart"/>
      <w:r w:rsidRPr="00AC1BEF">
        <w:rPr>
          <w:rFonts w:asciiTheme="minorHAnsi" w:hAnsiTheme="minorHAnsi"/>
          <w:lang w:val="en-IN"/>
        </w:rPr>
        <w:t>Bazrafkan</w:t>
      </w:r>
      <w:proofErr w:type="spellEnd"/>
      <w:r w:rsidRPr="00AC1BEF">
        <w:rPr>
          <w:rFonts w:asciiTheme="minorHAnsi" w:hAnsiTheme="minorHAnsi"/>
          <w:lang w:val="en-IN"/>
        </w:rPr>
        <w:t>, S., &amp; Corcoran, P. (2017). Deep Learning for Consumer Devices and Services: Pushing the limits for machine learning, artificial intelligence, and computer vision. </w:t>
      </w:r>
      <w:r w:rsidRPr="00AC1BEF">
        <w:rPr>
          <w:rFonts w:asciiTheme="minorHAnsi" w:hAnsiTheme="minorHAnsi"/>
          <w:i/>
          <w:lang w:val="en-IN"/>
        </w:rPr>
        <w:t>IEEE Consumer Electronics Magazine, 6</w:t>
      </w:r>
      <w:r w:rsidRPr="00AC1BEF">
        <w:rPr>
          <w:rFonts w:asciiTheme="minorHAnsi" w:hAnsiTheme="minorHAnsi"/>
          <w:lang w:val="en-IN"/>
        </w:rPr>
        <w:t>(2), 48-56.</w:t>
      </w:r>
    </w:p>
    <w:p w14:paraId="355F93C1"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Karan Lulla, Reena Chandra, &amp; Karthik Sirigiri. (2025). Proxy-Based Thermal and Acoustic Evaluation of Cloud GPUs for AI Training Workloads. </w:t>
      </w:r>
      <w:r w:rsidRPr="00AC1BEF">
        <w:rPr>
          <w:rFonts w:asciiTheme="minorHAnsi" w:hAnsiTheme="minorHAnsi"/>
          <w:i/>
          <w:lang w:val="en-IN"/>
        </w:rPr>
        <w:t>The American Journal of Applied Sciences</w:t>
      </w:r>
      <w:r w:rsidRPr="00AC1BEF">
        <w:rPr>
          <w:rFonts w:asciiTheme="minorHAnsi" w:hAnsiTheme="minorHAnsi"/>
          <w:lang w:val="en-IN"/>
        </w:rPr>
        <w:t>, </w:t>
      </w:r>
      <w:r w:rsidRPr="00AC1BEF">
        <w:rPr>
          <w:rFonts w:asciiTheme="minorHAnsi" w:hAnsiTheme="minorHAnsi"/>
          <w:i/>
          <w:lang w:val="en-IN"/>
        </w:rPr>
        <w:t>7</w:t>
      </w:r>
      <w:r w:rsidRPr="00AC1BEF">
        <w:rPr>
          <w:rFonts w:asciiTheme="minorHAnsi" w:hAnsiTheme="minorHAnsi"/>
          <w:lang w:val="en-IN"/>
        </w:rPr>
        <w:t>(07), 111–127. https://doi.org/10.37547/tajas/Volume07Issue07-12</w:t>
      </w:r>
    </w:p>
    <w:p w14:paraId="2EB42649"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Luo Mai et al., "Optimizing Network Performance in Distributed Machine Learning." [Online]. Available: </w:t>
      </w:r>
      <w:hyperlink r:id="rId20" w:tgtFrame="_blank" w:history="1">
        <w:r w:rsidRPr="00AC1BEF">
          <w:rPr>
            <w:rStyle w:val="Hyperlink"/>
            <w:rFonts w:asciiTheme="minorHAnsi" w:hAnsiTheme="minorHAnsi"/>
            <w:lang w:val="en-IN"/>
          </w:rPr>
          <w:t>https://www.usenix.org/system/files/conference/hotcloud15/hotcloud15-mai.pdf</w:t>
        </w:r>
      </w:hyperlink>
    </w:p>
    <w:p w14:paraId="502D89D2"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proofErr w:type="spellStart"/>
      <w:r w:rsidRPr="00AC1BEF">
        <w:rPr>
          <w:rFonts w:asciiTheme="minorHAnsi" w:hAnsiTheme="minorHAnsi"/>
          <w:lang w:val="en-IN"/>
        </w:rPr>
        <w:t>Madiajagan</w:t>
      </w:r>
      <w:proofErr w:type="spellEnd"/>
      <w:r w:rsidRPr="00AC1BEF">
        <w:rPr>
          <w:rFonts w:asciiTheme="minorHAnsi" w:hAnsiTheme="minorHAnsi"/>
          <w:lang w:val="en-IN"/>
        </w:rPr>
        <w:t xml:space="preserve">, M., &amp; Raj, S. S. (2019). Parallel </w:t>
      </w:r>
      <w:r w:rsidRPr="00AC1BEF">
        <w:rPr>
          <w:rFonts w:asciiTheme="minorHAnsi" w:hAnsiTheme="minorHAnsi"/>
          <w:lang w:val="en-IN"/>
        </w:rPr>
        <w:t>computing, graphics processing unit (GPU) and new hardware for deep learning in computational intelligence research. In </w:t>
      </w:r>
      <w:r w:rsidRPr="00AC1BEF">
        <w:rPr>
          <w:rFonts w:asciiTheme="minorHAnsi" w:hAnsiTheme="minorHAnsi"/>
          <w:i/>
          <w:lang w:val="en-IN"/>
        </w:rPr>
        <w:t>Deep learning and parallel computing environment for bioengineering systems</w:t>
      </w:r>
      <w:r w:rsidRPr="00AC1BEF">
        <w:rPr>
          <w:rFonts w:asciiTheme="minorHAnsi" w:hAnsiTheme="minorHAnsi"/>
          <w:lang w:val="en-IN"/>
        </w:rPr>
        <w:t> (pp. 1-15). Academic Press.</w:t>
      </w:r>
    </w:p>
    <w:p w14:paraId="7E0D2C2E"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Manav Madan et </w:t>
      </w:r>
      <w:proofErr w:type="spellStart"/>
      <w:r w:rsidRPr="00AC1BEF">
        <w:rPr>
          <w:rFonts w:asciiTheme="minorHAnsi" w:hAnsiTheme="minorHAnsi"/>
          <w:lang w:val="en-IN"/>
        </w:rPr>
        <w:t>al.,"Comparison</w:t>
      </w:r>
      <w:proofErr w:type="spellEnd"/>
      <w:r w:rsidRPr="00AC1BEF">
        <w:rPr>
          <w:rFonts w:asciiTheme="minorHAnsi" w:hAnsiTheme="minorHAnsi"/>
          <w:lang w:val="en-IN"/>
        </w:rPr>
        <w:t xml:space="preserve"> of Benchmarks for Machine Learning Cloud Infrastructures," </w:t>
      </w:r>
      <w:r w:rsidRPr="00AC1BEF">
        <w:rPr>
          <w:rFonts w:asciiTheme="minorHAnsi" w:hAnsiTheme="minorHAnsi"/>
          <w:i/>
          <w:lang w:val="en-IN"/>
        </w:rPr>
        <w:t>The Twelfth International Conference on Cloud Computing, GRIDs, and Virtualization</w:t>
      </w:r>
      <w:r w:rsidRPr="00AC1BEF">
        <w:rPr>
          <w:rFonts w:asciiTheme="minorHAnsi" w:hAnsiTheme="minorHAnsi"/>
          <w:lang w:val="en-IN"/>
        </w:rPr>
        <w:t>, 2021. [Online]. Available: </w:t>
      </w:r>
      <w:hyperlink r:id="rId21" w:tgtFrame="_blank" w:history="1">
        <w:r w:rsidRPr="00AC1BEF">
          <w:rPr>
            <w:rStyle w:val="Hyperlink"/>
            <w:rFonts w:asciiTheme="minorHAnsi" w:hAnsiTheme="minorHAnsi"/>
            <w:lang w:val="en-IN"/>
          </w:rPr>
          <w:t>https://personales.upv.es/thinkmind/dl/conferences/cloudcomputing/cloud_computing_2021/cloud_computing_2021_3_10_20011.pdf</w:t>
        </w:r>
      </w:hyperlink>
      <w:r w:rsidRPr="00AC1BEF">
        <w:rPr>
          <w:rFonts w:asciiTheme="minorHAnsi" w:hAnsiTheme="minorHAnsi"/>
          <w:lang w:val="en-IN"/>
        </w:rPr>
        <w:t>.</w:t>
      </w:r>
    </w:p>
    <w:p w14:paraId="5A64DA51"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Pandey, M., Fernandez, M., Gentile, F., Isayev, O., </w:t>
      </w:r>
      <w:proofErr w:type="spellStart"/>
      <w:r w:rsidRPr="00AC1BEF">
        <w:rPr>
          <w:rFonts w:asciiTheme="minorHAnsi" w:hAnsiTheme="minorHAnsi"/>
          <w:lang w:val="en-IN"/>
        </w:rPr>
        <w:t>Tropsha</w:t>
      </w:r>
      <w:proofErr w:type="spellEnd"/>
      <w:r w:rsidRPr="00AC1BEF">
        <w:rPr>
          <w:rFonts w:asciiTheme="minorHAnsi" w:hAnsiTheme="minorHAnsi"/>
          <w:lang w:val="en-IN"/>
        </w:rPr>
        <w:t>, A., Stern, A. C., &amp; Cherkasov, A. (2022). The transformational role of GPU computing and deep learning in drug discovery. </w:t>
      </w:r>
      <w:r w:rsidRPr="00AC1BEF">
        <w:rPr>
          <w:rFonts w:asciiTheme="minorHAnsi" w:hAnsiTheme="minorHAnsi"/>
          <w:i/>
          <w:lang w:val="en-IN"/>
        </w:rPr>
        <w:t>Nature Machine Intelligence, 4</w:t>
      </w:r>
      <w:r w:rsidRPr="00AC1BEF">
        <w:rPr>
          <w:rFonts w:asciiTheme="minorHAnsi" w:hAnsiTheme="minorHAnsi"/>
          <w:lang w:val="en-IN"/>
        </w:rPr>
        <w:t>(3), 211-221.</w:t>
      </w:r>
    </w:p>
    <w:p w14:paraId="6A184E22"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Raschka, S., Patterson, J., &amp; Nolet, C. (2020). Machine learning in python: Main developments and technology trends in data science, machine learning, and artificial intelligence. </w:t>
      </w:r>
      <w:r w:rsidRPr="00AC1BEF">
        <w:rPr>
          <w:rFonts w:asciiTheme="minorHAnsi" w:hAnsiTheme="minorHAnsi"/>
          <w:i/>
          <w:lang w:val="en-IN"/>
        </w:rPr>
        <w:t>Information, 11</w:t>
      </w:r>
      <w:r w:rsidRPr="00AC1BEF">
        <w:rPr>
          <w:rFonts w:asciiTheme="minorHAnsi" w:hAnsiTheme="minorHAnsi"/>
          <w:lang w:val="en-IN"/>
        </w:rPr>
        <w:t>(4), 193.</w:t>
      </w:r>
    </w:p>
    <w:p w14:paraId="417A6018"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Sharma, R., Vinutha, M., &amp; Moharir, M. (2016, October). Revolutionizing machine learning algorithms using </w:t>
      </w:r>
      <w:proofErr w:type="spellStart"/>
      <w:r w:rsidRPr="00AC1BEF">
        <w:rPr>
          <w:rFonts w:asciiTheme="minorHAnsi" w:hAnsiTheme="minorHAnsi"/>
          <w:lang w:val="en-IN"/>
        </w:rPr>
        <w:t>gpus</w:t>
      </w:r>
      <w:proofErr w:type="spellEnd"/>
      <w:r w:rsidRPr="00AC1BEF">
        <w:rPr>
          <w:rFonts w:asciiTheme="minorHAnsi" w:hAnsiTheme="minorHAnsi"/>
          <w:lang w:val="en-IN"/>
        </w:rPr>
        <w:t>. In </w:t>
      </w:r>
      <w:r w:rsidRPr="00AC1BEF">
        <w:rPr>
          <w:rFonts w:asciiTheme="minorHAnsi" w:hAnsiTheme="minorHAnsi"/>
          <w:i/>
          <w:lang w:val="en-IN"/>
        </w:rPr>
        <w:t>2016 international conference on computation system and information technology for sustainable solutions (CSITSS)</w:t>
      </w:r>
      <w:r w:rsidRPr="00AC1BEF">
        <w:rPr>
          <w:rFonts w:asciiTheme="minorHAnsi" w:hAnsiTheme="minorHAnsi"/>
          <w:lang w:val="en-IN"/>
        </w:rPr>
        <w:t> (pp. 318-323). IEEE.</w:t>
      </w:r>
    </w:p>
    <w:p w14:paraId="0EC54839"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proofErr w:type="spellStart"/>
      <w:r w:rsidRPr="00AC1BEF">
        <w:rPr>
          <w:rFonts w:asciiTheme="minorHAnsi" w:hAnsiTheme="minorHAnsi"/>
          <w:lang w:val="en-IN"/>
        </w:rPr>
        <w:t>Shaojun</w:t>
      </w:r>
      <w:proofErr w:type="spellEnd"/>
      <w:r w:rsidRPr="00AC1BEF">
        <w:rPr>
          <w:rFonts w:asciiTheme="minorHAnsi" w:hAnsiTheme="minorHAnsi"/>
          <w:lang w:val="en-IN"/>
        </w:rPr>
        <w:t xml:space="preserve"> Weil., "Reconfigurable computing: a promising microchip architecture for artificial intelligence," </w:t>
      </w:r>
      <w:r w:rsidRPr="00AC1BEF">
        <w:rPr>
          <w:rFonts w:asciiTheme="minorHAnsi" w:hAnsiTheme="minorHAnsi"/>
          <w:i/>
          <w:lang w:val="en-IN"/>
        </w:rPr>
        <w:t xml:space="preserve">J. </w:t>
      </w:r>
      <w:proofErr w:type="spellStart"/>
      <w:r w:rsidRPr="00AC1BEF">
        <w:rPr>
          <w:rFonts w:asciiTheme="minorHAnsi" w:hAnsiTheme="minorHAnsi"/>
          <w:i/>
          <w:lang w:val="en-IN"/>
        </w:rPr>
        <w:t>Semicond</w:t>
      </w:r>
      <w:proofErr w:type="spellEnd"/>
      <w:r w:rsidRPr="00AC1BEF">
        <w:rPr>
          <w:rFonts w:asciiTheme="minorHAnsi" w:hAnsiTheme="minorHAnsi"/>
          <w:i/>
          <w:lang w:val="en-IN"/>
        </w:rPr>
        <w:t>., 41</w:t>
      </w:r>
      <w:r w:rsidRPr="00AC1BEF">
        <w:rPr>
          <w:rFonts w:asciiTheme="minorHAnsi" w:hAnsiTheme="minorHAnsi"/>
          <w:lang w:val="en-IN"/>
        </w:rPr>
        <w:t>(2), 020301., 2020. [Online]. Available: </w:t>
      </w:r>
      <w:hyperlink r:id="rId22" w:tgtFrame="_blank" w:history="1">
        <w:r w:rsidRPr="00AC1BEF">
          <w:rPr>
            <w:rStyle w:val="Hyperlink"/>
            <w:rFonts w:asciiTheme="minorHAnsi" w:hAnsiTheme="minorHAnsi"/>
            <w:lang w:val="en-IN"/>
          </w:rPr>
          <w:t>https://www.researching.cn/ArticlePdf/m00098/2020/41/2/020301.pdf</w:t>
        </w:r>
      </w:hyperlink>
    </w:p>
    <w:p w14:paraId="41705B78"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Shen Li et al., "</w:t>
      </w:r>
      <w:proofErr w:type="spellStart"/>
      <w:r w:rsidRPr="00AC1BEF">
        <w:rPr>
          <w:rFonts w:asciiTheme="minorHAnsi" w:hAnsiTheme="minorHAnsi"/>
          <w:lang w:val="en-IN"/>
        </w:rPr>
        <w:t>PyTorch</w:t>
      </w:r>
      <w:proofErr w:type="spellEnd"/>
      <w:r w:rsidRPr="00AC1BEF">
        <w:rPr>
          <w:rFonts w:asciiTheme="minorHAnsi" w:hAnsiTheme="minorHAnsi"/>
          <w:lang w:val="en-IN"/>
        </w:rPr>
        <w:t xml:space="preserve"> Distributed: Experiences on Accelerating Data Parallel Training," </w:t>
      </w:r>
      <w:proofErr w:type="spellStart"/>
      <w:r w:rsidRPr="00AC1BEF">
        <w:rPr>
          <w:rFonts w:asciiTheme="minorHAnsi" w:hAnsiTheme="minorHAnsi"/>
          <w:lang w:val="en-IN"/>
        </w:rPr>
        <w:t>arXiv</w:t>
      </w:r>
      <w:proofErr w:type="spellEnd"/>
      <w:r w:rsidRPr="00AC1BEF">
        <w:rPr>
          <w:rFonts w:asciiTheme="minorHAnsi" w:hAnsiTheme="minorHAnsi"/>
          <w:lang w:val="en-IN"/>
        </w:rPr>
        <w:t>, 2020. [Online]. Available: </w:t>
      </w:r>
      <w:hyperlink r:id="rId23" w:tgtFrame="_blank" w:history="1">
        <w:r w:rsidRPr="00AC1BEF">
          <w:rPr>
            <w:rStyle w:val="Hyperlink"/>
            <w:rFonts w:asciiTheme="minorHAnsi" w:hAnsiTheme="minorHAnsi"/>
            <w:lang w:val="en-IN"/>
          </w:rPr>
          <w:t>https://arxiv.org/pdf/2006.15704</w:t>
        </w:r>
      </w:hyperlink>
    </w:p>
    <w:p w14:paraId="0E71DD3E"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 xml:space="preserve">Tianqi Chen et al., "TVM: An Automated End-to-End Optimizing Compiler for Deep Learning," </w:t>
      </w:r>
      <w:proofErr w:type="spellStart"/>
      <w:r w:rsidRPr="00AC1BEF">
        <w:rPr>
          <w:rFonts w:asciiTheme="minorHAnsi" w:hAnsiTheme="minorHAnsi"/>
          <w:lang w:val="en-IN"/>
        </w:rPr>
        <w:t>arXiv</w:t>
      </w:r>
      <w:proofErr w:type="spellEnd"/>
      <w:r w:rsidRPr="00AC1BEF">
        <w:rPr>
          <w:rFonts w:asciiTheme="minorHAnsi" w:hAnsiTheme="minorHAnsi"/>
          <w:lang w:val="en-IN"/>
        </w:rPr>
        <w:t>, 2018. [Online]. Available: </w:t>
      </w:r>
      <w:hyperlink r:id="rId24" w:tgtFrame="_blank" w:history="1">
        <w:r w:rsidRPr="00AC1BEF">
          <w:rPr>
            <w:rStyle w:val="Hyperlink"/>
            <w:rFonts w:asciiTheme="minorHAnsi" w:hAnsiTheme="minorHAnsi"/>
            <w:lang w:val="en-IN"/>
          </w:rPr>
          <w:t>https://arxiv.org/pdf/1802.04799</w:t>
        </w:r>
      </w:hyperlink>
    </w:p>
    <w:p w14:paraId="41415469" w14:textId="77777777" w:rsidR="00AC1BEF" w:rsidRPr="00AC1BEF" w:rsidRDefault="00AC1BEF" w:rsidP="00AC1BEF">
      <w:pPr>
        <w:numPr>
          <w:ilvl w:val="0"/>
          <w:numId w:val="15"/>
        </w:numPr>
        <w:tabs>
          <w:tab w:val="left" w:pos="709"/>
        </w:tabs>
        <w:spacing w:before="78"/>
        <w:ind w:right="144"/>
        <w:jc w:val="both"/>
        <w:rPr>
          <w:rFonts w:asciiTheme="minorHAnsi" w:hAnsiTheme="minorHAnsi"/>
          <w:lang w:val="en-IN"/>
        </w:rPr>
      </w:pPr>
      <w:r w:rsidRPr="00AC1BEF">
        <w:rPr>
          <w:rFonts w:asciiTheme="minorHAnsi" w:hAnsiTheme="minorHAnsi"/>
          <w:lang w:val="en-IN"/>
        </w:rPr>
        <w:t>Xiao, W., Han, Z., Zhao, H., Peng, X., Zhang, Q., Yang, F., &amp; Zhou, L. (2018, October). Scheduling CPU for GPU-based deep learning jobs. In </w:t>
      </w:r>
      <w:r w:rsidRPr="00AC1BEF">
        <w:rPr>
          <w:rFonts w:asciiTheme="minorHAnsi" w:hAnsiTheme="minorHAnsi"/>
          <w:i/>
          <w:lang w:val="en-IN"/>
        </w:rPr>
        <w:t>Proceedings of the ACM Symposium on Cloud Computing</w:t>
      </w:r>
      <w:r w:rsidRPr="00AC1BEF">
        <w:rPr>
          <w:rFonts w:asciiTheme="minorHAnsi" w:hAnsiTheme="minorHAnsi"/>
          <w:lang w:val="en-IN"/>
        </w:rPr>
        <w:t> (pp. 503-503).</w:t>
      </w:r>
    </w:p>
    <w:p w14:paraId="463BEC70" w14:textId="55AF0D6B" w:rsidR="0094622E" w:rsidRPr="00AC1BEF" w:rsidRDefault="00AC1BEF" w:rsidP="00E34BC5">
      <w:pPr>
        <w:pStyle w:val="ListParagraph"/>
        <w:numPr>
          <w:ilvl w:val="0"/>
          <w:numId w:val="15"/>
        </w:numPr>
        <w:tabs>
          <w:tab w:val="left" w:pos="709"/>
        </w:tabs>
        <w:spacing w:before="78"/>
        <w:ind w:right="144"/>
        <w:jc w:val="both"/>
        <w:rPr>
          <w:rFonts w:asciiTheme="minorHAnsi" w:hAnsiTheme="minorHAnsi"/>
          <w:lang w:val="uz-Latn-UZ"/>
        </w:rPr>
      </w:pPr>
      <w:r w:rsidRPr="00AC1BEF">
        <w:rPr>
          <w:rFonts w:asciiTheme="minorHAnsi" w:hAnsiTheme="minorHAnsi"/>
          <w:lang w:val="en-IN"/>
        </w:rPr>
        <w:t xml:space="preserve">Zhang, C., &amp; Lu, Y. (2021). Study on artificial intelligence: The state of the art and future </w:t>
      </w:r>
      <w:r w:rsidRPr="00AC1BEF">
        <w:rPr>
          <w:rFonts w:asciiTheme="minorHAnsi" w:hAnsiTheme="minorHAnsi"/>
          <w:lang w:val="en-IN"/>
        </w:rPr>
        <w:lastRenderedPageBreak/>
        <w:t>prospects. </w:t>
      </w:r>
      <w:r w:rsidRPr="00AC1BEF">
        <w:rPr>
          <w:rFonts w:asciiTheme="minorHAnsi" w:hAnsiTheme="minorHAnsi"/>
          <w:i/>
          <w:lang w:val="en-IN"/>
        </w:rPr>
        <w:t>Journal of Industrial Information Integration, 23</w:t>
      </w:r>
      <w:r w:rsidRPr="00AC1BEF">
        <w:rPr>
          <w:rFonts w:asciiTheme="minorHAnsi" w:hAnsiTheme="minorHAnsi"/>
          <w:lang w:val="en-IN"/>
        </w:rPr>
        <w:t>, 100224.</w:t>
      </w:r>
      <w:r w:rsidR="00E34BC5" w:rsidRPr="00AC1BEF">
        <w:rPr>
          <w:rFonts w:asciiTheme="minorHAnsi" w:hAnsiTheme="minorHAnsi"/>
          <w:lang w:val="uz-Latn-UZ"/>
        </w:rPr>
        <w:t xml:space="preserve"> </w:t>
      </w:r>
    </w:p>
    <w:sectPr w:rsidR="0094622E" w:rsidRPr="00AC1BEF" w:rsidSect="0094622E">
      <w:type w:val="continuous"/>
      <w:pgSz w:w="11910" w:h="16840"/>
      <w:pgMar w:top="580" w:right="850" w:bottom="820" w:left="850" w:header="720" w:footer="634" w:gutter="0"/>
      <w:cols w:num="2" w:space="41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2978" w14:textId="77777777" w:rsidR="00342DE5" w:rsidRDefault="00342DE5">
      <w:r>
        <w:separator/>
      </w:r>
    </w:p>
  </w:endnote>
  <w:endnote w:type="continuationSeparator" w:id="0">
    <w:p w14:paraId="1E4FBC81" w14:textId="77777777" w:rsidR="00342DE5" w:rsidRDefault="003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윤명조120">
    <w:altName w:val="Arial Unicode MS"/>
    <w:charset w:val="81"/>
    <w:family w:val="roman"/>
    <w:pitch w:val="variable"/>
    <w:sig w:usb0="00000000" w:usb1="2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2A99" w14:textId="11CEF3CC" w:rsidR="00637E6C" w:rsidRDefault="00637E6C" w:rsidP="00D412DF">
    <w:pPr>
      <w:pStyle w:val="BodyText"/>
      <w:spacing w:line="14" w:lineRule="auto"/>
      <w:rPr>
        <w:sz w:val="20"/>
      </w:rPr>
    </w:pPr>
    <w:r>
      <w:rPr>
        <w:noProof/>
        <w:sz w:val="20"/>
      </w:rPr>
      <mc:AlternateContent>
        <mc:Choice Requires="wps">
          <w:drawing>
            <wp:anchor distT="0" distB="0" distL="0" distR="0" simplePos="0" relativeHeight="251693056" behindDoc="1" locked="0" layoutInCell="1" allowOverlap="1" wp14:anchorId="072AEA8E" wp14:editId="1474FB31">
              <wp:simplePos x="0" y="0"/>
              <wp:positionH relativeFrom="page">
                <wp:posOffset>613457</wp:posOffset>
              </wp:positionH>
              <wp:positionV relativeFrom="page">
                <wp:posOffset>10185722</wp:posOffset>
              </wp:positionV>
              <wp:extent cx="2627453" cy="260430"/>
              <wp:effectExtent l="0" t="0" r="0" b="0"/>
              <wp:wrapNone/>
              <wp:docPr id="18876994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453" cy="260430"/>
                      </a:xfrm>
                      <a:prstGeom prst="rect">
                        <a:avLst/>
                      </a:prstGeom>
                    </wps:spPr>
                    <wps:txbx>
                      <w:txbxContent>
                        <w:p w14:paraId="7118E729" w14:textId="4513155C" w:rsidR="00637E6C" w:rsidRPr="00F258E2" w:rsidRDefault="00637E6C" w:rsidP="00D412DF">
                          <w:pPr>
                            <w:spacing w:before="12"/>
                            <w:ind w:left="20"/>
                            <w:rPr>
                              <w:rFonts w:asciiTheme="minorHAnsi" w:hAnsiTheme="minorHAnsi" w:cstheme="minorHAnsi"/>
                              <w:color w:val="E36C0A" w:themeColor="accent6" w:themeShade="BF"/>
                              <w:sz w:val="14"/>
                              <w:szCs w:val="14"/>
                            </w:rPr>
                          </w:pPr>
                          <w:r w:rsidRPr="00F72977">
                            <w:rPr>
                              <w:rFonts w:asciiTheme="minorHAnsi" w:hAnsiTheme="minorHAnsi" w:cstheme="minorHAnsi"/>
                              <w:color w:val="E36C0A" w:themeColor="accent6" w:themeShade="BF"/>
                              <w:sz w:val="14"/>
                              <w:szCs w:val="14"/>
                            </w:rPr>
                            <w:t>American Journal of Applied Science and Technology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72AEA8E" id="_x0000_t202" coordsize="21600,21600" o:spt="202" path="m,l,21600r21600,l21600,xe">
              <v:stroke joinstyle="miter"/>
              <v:path gradientshapeok="t" o:connecttype="rect"/>
            </v:shapetype>
            <v:shape id="Text Box 25" o:spid="_x0000_s1027" type="#_x0000_t202" style="position:absolute;margin-left:48.3pt;margin-top:802.05pt;width:206.9pt;height:20.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" filled="f" stroked="f">
              <v:textbox inset="0,0,0,0">
                <w:txbxContent>
                  <w:p w14:paraId="7118E729" w14:textId="4513155C" w:rsidR="00637E6C" w:rsidRPr="00F258E2" w:rsidRDefault="00637E6C" w:rsidP="00D412DF">
                    <w:pPr>
                      <w:spacing w:before="12"/>
                      <w:ind w:left="20"/>
                      <w:rPr>
                        <w:rFonts w:asciiTheme="minorHAnsi" w:hAnsiTheme="minorHAnsi" w:cstheme="minorHAnsi"/>
                        <w:color w:val="E36C0A" w:themeColor="accent6" w:themeShade="BF"/>
                        <w:sz w:val="14"/>
                        <w:szCs w:val="14"/>
                      </w:rPr>
                    </w:pPr>
                    <w:r w:rsidRPr="00F72977">
                      <w:rPr>
                        <w:rFonts w:asciiTheme="minorHAnsi" w:hAnsiTheme="minorHAnsi" w:cstheme="minorHAnsi"/>
                        <w:color w:val="E36C0A" w:themeColor="accent6" w:themeShade="BF"/>
                        <w:sz w:val="14"/>
                        <w:szCs w:val="14"/>
                      </w:rPr>
                      <w:t>American Journal of Applied Science and Technology</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66D543B7" wp14:editId="1E93B72C">
              <wp:simplePos x="0" y="0"/>
              <wp:positionH relativeFrom="page">
                <wp:posOffset>5238750</wp:posOffset>
              </wp:positionH>
              <wp:positionV relativeFrom="page">
                <wp:posOffset>10185400</wp:posOffset>
              </wp:positionV>
              <wp:extent cx="1704340" cy="127000"/>
              <wp:effectExtent l="0" t="0" r="0" b="0"/>
              <wp:wrapNone/>
              <wp:docPr id="3959954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40" cy="127000"/>
                      </a:xfrm>
                      <a:prstGeom prst="rect">
                        <a:avLst/>
                      </a:prstGeom>
                    </wps:spPr>
                    <wps:txbx>
                      <w:txbxContent>
                        <w:p w14:paraId="636914BE" w14:textId="794FD7DC" w:rsidR="00637E6C" w:rsidRPr="00F258E2" w:rsidRDefault="00637E6C" w:rsidP="00D412DF">
                          <w:pPr>
                            <w:spacing w:before="12"/>
                            <w:ind w:left="20"/>
                            <w:rPr>
                              <w:rFonts w:asciiTheme="minorHAnsi" w:hAnsiTheme="minorHAnsi" w:cstheme="minorHAnsi"/>
                              <w:color w:val="E36C0A" w:themeColor="accent6" w:themeShade="BF"/>
                              <w:sz w:val="14"/>
                              <w:szCs w:val="14"/>
                            </w:rPr>
                          </w:pPr>
                          <w:r w:rsidRPr="008356FB">
                            <w:rPr>
                              <w:rFonts w:asciiTheme="minorHAnsi" w:hAnsiTheme="minorHAnsi" w:cstheme="minorHAnsi"/>
                              <w:color w:val="E36C0A" w:themeColor="accent6" w:themeShade="BF"/>
                              <w:sz w:val="14"/>
                              <w:szCs w:val="14"/>
                            </w:rPr>
                            <w:t>https://theusajournals.com/index.php/</w:t>
                          </w:r>
                          <w:r>
                            <w:rPr>
                              <w:rFonts w:asciiTheme="minorHAnsi" w:hAnsiTheme="minorHAnsi" w:cstheme="minorHAnsi"/>
                              <w:color w:val="E36C0A" w:themeColor="accent6" w:themeShade="BF"/>
                              <w:sz w:val="14"/>
                              <w:szCs w:val="14"/>
                            </w:rPr>
                            <w:t>ajast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6D543B7" id="Text Box 26" o:spid="_x0000_s1028" type="#_x0000_t202" style="position:absolute;margin-left:412.5pt;margin-top:802pt;width:134.2pt;height:10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" filled="f" stroked="f">
              <v:textbox inset="0,0,0,0">
                <w:txbxContent>
                  <w:p w14:paraId="636914BE" w14:textId="794FD7DC" w:rsidR="00637E6C" w:rsidRPr="00F258E2" w:rsidRDefault="00637E6C" w:rsidP="00D412DF">
                    <w:pPr>
                      <w:spacing w:before="12"/>
                      <w:ind w:left="20"/>
                      <w:rPr>
                        <w:rFonts w:asciiTheme="minorHAnsi" w:hAnsiTheme="minorHAnsi" w:cstheme="minorHAnsi"/>
                        <w:color w:val="E36C0A" w:themeColor="accent6" w:themeShade="BF"/>
                        <w:sz w:val="14"/>
                        <w:szCs w:val="14"/>
                      </w:rPr>
                    </w:pPr>
                    <w:r w:rsidRPr="008356FB">
                      <w:rPr>
                        <w:rFonts w:asciiTheme="minorHAnsi" w:hAnsiTheme="minorHAnsi" w:cstheme="minorHAnsi"/>
                        <w:color w:val="E36C0A" w:themeColor="accent6" w:themeShade="BF"/>
                        <w:sz w:val="14"/>
                        <w:szCs w:val="14"/>
                      </w:rPr>
                      <w:t>https://theusajournals.com/index.php/</w:t>
                    </w:r>
                    <w:r>
                      <w:rPr>
                        <w:rFonts w:asciiTheme="minorHAnsi" w:hAnsiTheme="minorHAnsi" w:cstheme="minorHAnsi"/>
                        <w:color w:val="E36C0A" w:themeColor="accent6" w:themeShade="BF"/>
                        <w:sz w:val="14"/>
                        <w:szCs w:val="14"/>
                      </w:rPr>
                      <w:t>ajast</w:t>
                    </w:r>
                  </w:p>
                </w:txbxContent>
              </v:textbox>
              <w10:wrap anchorx="page" anchory="page"/>
            </v:shape>
          </w:pict>
        </mc:Fallback>
      </mc:AlternateContent>
    </w:r>
  </w:p>
  <w:p w14:paraId="34D0E26C" w14:textId="4B6B9D38" w:rsidR="00637E6C" w:rsidRPr="00D412DF" w:rsidRDefault="00637E6C" w:rsidP="00D412DF">
    <w:pPr>
      <w:pStyle w:val="Footer"/>
    </w:pPr>
    <w:r>
      <w:rPr>
        <w:noProof/>
        <w:sz w:val="20"/>
      </w:rPr>
      <mc:AlternateContent>
        <mc:Choice Requires="wps">
          <w:drawing>
            <wp:anchor distT="0" distB="0" distL="0" distR="0" simplePos="0" relativeHeight="251694080" behindDoc="1" locked="0" layoutInCell="1" allowOverlap="1" wp14:anchorId="23E6D7D8" wp14:editId="190B899D">
              <wp:simplePos x="0" y="0"/>
              <wp:positionH relativeFrom="page">
                <wp:posOffset>3695699</wp:posOffset>
              </wp:positionH>
              <wp:positionV relativeFrom="page">
                <wp:posOffset>10153650</wp:posOffset>
              </wp:positionV>
              <wp:extent cx="276225" cy="180975"/>
              <wp:effectExtent l="0" t="0" r="0" b="0"/>
              <wp:wrapNone/>
              <wp:docPr id="4704528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80975"/>
                      </a:xfrm>
                      <a:prstGeom prst="rect">
                        <a:avLst/>
                      </a:prstGeom>
                    </wps:spPr>
                    <wps:txbx>
                      <w:txbxContent>
                        <w:p w14:paraId="514D98CF" w14:textId="77777777" w:rsidR="00637E6C" w:rsidRPr="00F258E2" w:rsidRDefault="00637E6C" w:rsidP="00D412DF">
                          <w:pPr>
                            <w:spacing w:before="12"/>
                            <w:ind w:left="60"/>
                            <w:rPr>
                              <w:rFonts w:asciiTheme="minorHAnsi" w:hAnsiTheme="minorHAnsi" w:cstheme="minorHAnsi"/>
                              <w:b/>
                              <w:bCs/>
                              <w:color w:val="595959" w:themeColor="text1" w:themeTint="A6"/>
                              <w:sz w:val="18"/>
                              <w:szCs w:val="18"/>
                            </w:rPr>
                          </w:pPr>
                          <w:r w:rsidRPr="00F258E2">
                            <w:rPr>
                              <w:rFonts w:asciiTheme="minorHAnsi" w:hAnsiTheme="minorHAnsi" w:cstheme="minorHAnsi"/>
                              <w:b/>
                              <w:bCs/>
                              <w:color w:val="595959" w:themeColor="text1" w:themeTint="A6"/>
                              <w:spacing w:val="-5"/>
                              <w:sz w:val="18"/>
                              <w:szCs w:val="18"/>
                            </w:rPr>
                            <w:fldChar w:fldCharType="begin"/>
                          </w:r>
                          <w:r w:rsidRPr="00F258E2">
                            <w:rPr>
                              <w:rFonts w:asciiTheme="minorHAnsi" w:hAnsiTheme="minorHAnsi" w:cstheme="minorHAnsi"/>
                              <w:b/>
                              <w:bCs/>
                              <w:color w:val="595959" w:themeColor="text1" w:themeTint="A6"/>
                              <w:spacing w:val="-5"/>
                              <w:sz w:val="18"/>
                              <w:szCs w:val="18"/>
                            </w:rPr>
                            <w:instrText xml:space="preserve"> PAGE </w:instrText>
                          </w:r>
                          <w:r w:rsidRPr="00F258E2">
                            <w:rPr>
                              <w:rFonts w:asciiTheme="minorHAnsi" w:hAnsiTheme="minorHAnsi" w:cstheme="minorHAnsi"/>
                              <w:b/>
                              <w:bCs/>
                              <w:color w:val="595959" w:themeColor="text1" w:themeTint="A6"/>
                              <w:spacing w:val="-5"/>
                              <w:sz w:val="18"/>
                              <w:szCs w:val="18"/>
                            </w:rPr>
                            <w:fldChar w:fldCharType="separate"/>
                          </w:r>
                          <w:r w:rsidRPr="00F258E2">
                            <w:rPr>
                              <w:rFonts w:asciiTheme="minorHAnsi" w:hAnsiTheme="minorHAnsi" w:cstheme="minorHAnsi"/>
                              <w:b/>
                              <w:bCs/>
                              <w:color w:val="595959" w:themeColor="text1" w:themeTint="A6"/>
                              <w:spacing w:val="-5"/>
                              <w:sz w:val="18"/>
                              <w:szCs w:val="18"/>
                            </w:rPr>
                            <w:t>10</w:t>
                          </w:r>
                          <w:r w:rsidRPr="00F258E2">
                            <w:rPr>
                              <w:rFonts w:asciiTheme="minorHAnsi" w:hAnsiTheme="minorHAnsi" w:cstheme="minorHAnsi"/>
                              <w:b/>
                              <w:bCs/>
                              <w:color w:val="595959" w:themeColor="text1" w:themeTint="A6"/>
                              <w:spacing w:val="-5"/>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E6D7D8" id="Text Box 27" o:spid="_x0000_s1029" type="#_x0000_t202" style="position:absolute;margin-left:291pt;margin-top:799.5pt;width:21.75pt;height:14.2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" filled="f" stroked="f">
              <v:textbox inset="0,0,0,0">
                <w:txbxContent>
                  <w:p w14:paraId="514D98CF" w14:textId="77777777" w:rsidR="00637E6C" w:rsidRPr="00F258E2" w:rsidRDefault="00637E6C" w:rsidP="00D412DF">
                    <w:pPr>
                      <w:spacing w:before="12"/>
                      <w:ind w:left="60"/>
                      <w:rPr>
                        <w:rFonts w:asciiTheme="minorHAnsi" w:hAnsiTheme="minorHAnsi" w:cstheme="minorHAnsi"/>
                        <w:b/>
                        <w:bCs/>
                        <w:color w:val="595959" w:themeColor="text1" w:themeTint="A6"/>
                        <w:sz w:val="18"/>
                        <w:szCs w:val="18"/>
                      </w:rPr>
                    </w:pPr>
                    <w:r w:rsidRPr="00F258E2">
                      <w:rPr>
                        <w:rFonts w:asciiTheme="minorHAnsi" w:hAnsiTheme="minorHAnsi" w:cstheme="minorHAnsi"/>
                        <w:b/>
                        <w:bCs/>
                        <w:color w:val="595959" w:themeColor="text1" w:themeTint="A6"/>
                        <w:spacing w:val="-5"/>
                        <w:sz w:val="18"/>
                        <w:szCs w:val="18"/>
                      </w:rPr>
                      <w:fldChar w:fldCharType="begin"/>
                    </w:r>
                    <w:r w:rsidRPr="00F258E2">
                      <w:rPr>
                        <w:rFonts w:asciiTheme="minorHAnsi" w:hAnsiTheme="minorHAnsi" w:cstheme="minorHAnsi"/>
                        <w:b/>
                        <w:bCs/>
                        <w:color w:val="595959" w:themeColor="text1" w:themeTint="A6"/>
                        <w:spacing w:val="-5"/>
                        <w:sz w:val="18"/>
                        <w:szCs w:val="18"/>
                      </w:rPr>
                      <w:instrText xml:space="preserve"> PAGE </w:instrText>
                    </w:r>
                    <w:r w:rsidRPr="00F258E2">
                      <w:rPr>
                        <w:rFonts w:asciiTheme="minorHAnsi" w:hAnsiTheme="minorHAnsi" w:cstheme="minorHAnsi"/>
                        <w:b/>
                        <w:bCs/>
                        <w:color w:val="595959" w:themeColor="text1" w:themeTint="A6"/>
                        <w:spacing w:val="-5"/>
                        <w:sz w:val="18"/>
                        <w:szCs w:val="18"/>
                      </w:rPr>
                      <w:fldChar w:fldCharType="separate"/>
                    </w:r>
                    <w:r w:rsidRPr="00F258E2">
                      <w:rPr>
                        <w:rFonts w:asciiTheme="minorHAnsi" w:hAnsiTheme="minorHAnsi" w:cstheme="minorHAnsi"/>
                        <w:b/>
                        <w:bCs/>
                        <w:color w:val="595959" w:themeColor="text1" w:themeTint="A6"/>
                        <w:spacing w:val="-5"/>
                        <w:sz w:val="18"/>
                        <w:szCs w:val="18"/>
                      </w:rPr>
                      <w:t>10</w:t>
                    </w:r>
                    <w:r w:rsidRPr="00F258E2">
                      <w:rPr>
                        <w:rFonts w:asciiTheme="minorHAnsi" w:hAnsiTheme="minorHAnsi" w:cstheme="minorHAnsi"/>
                        <w:b/>
                        <w:bCs/>
                        <w:color w:val="595959" w:themeColor="text1" w:themeTint="A6"/>
                        <w:spacing w:val="-5"/>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11C6" w14:textId="74BE75C5" w:rsidR="00637E6C" w:rsidRDefault="00637E6C">
    <w:pPr>
      <w:pStyle w:val="BodyText"/>
      <w:spacing w:line="14" w:lineRule="auto"/>
      <w:rPr>
        <w:sz w:val="20"/>
      </w:rPr>
    </w:pPr>
    <w:r>
      <w:rPr>
        <w:noProof/>
        <w:sz w:val="20"/>
      </w:rPr>
      <mc:AlternateContent>
        <mc:Choice Requires="wps">
          <w:drawing>
            <wp:anchor distT="0" distB="0" distL="0" distR="0" simplePos="0" relativeHeight="251688960" behindDoc="1" locked="0" layoutInCell="1" allowOverlap="1" wp14:anchorId="0117D44B" wp14:editId="17418627">
              <wp:simplePos x="0" y="0"/>
              <wp:positionH relativeFrom="page">
                <wp:posOffset>3695700</wp:posOffset>
              </wp:positionH>
              <wp:positionV relativeFrom="page">
                <wp:posOffset>10153650</wp:posOffset>
              </wp:positionV>
              <wp:extent cx="361950" cy="22860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28600"/>
                      </a:xfrm>
                      <a:prstGeom prst="rect">
                        <a:avLst/>
                      </a:prstGeom>
                    </wps:spPr>
                    <wps:txbx>
                      <w:txbxContent>
                        <w:p w14:paraId="779877B5" w14:textId="77777777" w:rsidR="00637E6C" w:rsidRPr="00F258E2" w:rsidRDefault="00637E6C">
                          <w:pPr>
                            <w:spacing w:before="12"/>
                            <w:ind w:left="60"/>
                            <w:rPr>
                              <w:rFonts w:asciiTheme="minorHAnsi" w:hAnsiTheme="minorHAnsi" w:cstheme="minorHAnsi"/>
                              <w:b/>
                              <w:bCs/>
                              <w:color w:val="595959" w:themeColor="text1" w:themeTint="A6"/>
                              <w:sz w:val="18"/>
                              <w:szCs w:val="18"/>
                            </w:rPr>
                          </w:pPr>
                          <w:r w:rsidRPr="00F258E2">
                            <w:rPr>
                              <w:rFonts w:asciiTheme="minorHAnsi" w:hAnsiTheme="minorHAnsi" w:cstheme="minorHAnsi"/>
                              <w:b/>
                              <w:bCs/>
                              <w:color w:val="595959" w:themeColor="text1" w:themeTint="A6"/>
                              <w:spacing w:val="-5"/>
                              <w:sz w:val="18"/>
                              <w:szCs w:val="18"/>
                            </w:rPr>
                            <w:fldChar w:fldCharType="begin"/>
                          </w:r>
                          <w:r w:rsidRPr="00F258E2">
                            <w:rPr>
                              <w:rFonts w:asciiTheme="minorHAnsi" w:hAnsiTheme="minorHAnsi" w:cstheme="minorHAnsi"/>
                              <w:b/>
                              <w:bCs/>
                              <w:color w:val="595959" w:themeColor="text1" w:themeTint="A6"/>
                              <w:spacing w:val="-5"/>
                              <w:sz w:val="18"/>
                              <w:szCs w:val="18"/>
                            </w:rPr>
                            <w:instrText xml:space="preserve"> PAGE </w:instrText>
                          </w:r>
                          <w:r w:rsidRPr="00F258E2">
                            <w:rPr>
                              <w:rFonts w:asciiTheme="minorHAnsi" w:hAnsiTheme="minorHAnsi" w:cstheme="minorHAnsi"/>
                              <w:b/>
                              <w:bCs/>
                              <w:color w:val="595959" w:themeColor="text1" w:themeTint="A6"/>
                              <w:spacing w:val="-5"/>
                              <w:sz w:val="18"/>
                              <w:szCs w:val="18"/>
                            </w:rPr>
                            <w:fldChar w:fldCharType="separate"/>
                          </w:r>
                          <w:r w:rsidRPr="00F258E2">
                            <w:rPr>
                              <w:rFonts w:asciiTheme="minorHAnsi" w:hAnsiTheme="minorHAnsi" w:cstheme="minorHAnsi"/>
                              <w:b/>
                              <w:bCs/>
                              <w:color w:val="595959" w:themeColor="text1" w:themeTint="A6"/>
                              <w:spacing w:val="-5"/>
                              <w:sz w:val="18"/>
                              <w:szCs w:val="18"/>
                            </w:rPr>
                            <w:t>10</w:t>
                          </w:r>
                          <w:r w:rsidRPr="00F258E2">
                            <w:rPr>
                              <w:rFonts w:asciiTheme="minorHAnsi" w:hAnsiTheme="minorHAnsi" w:cstheme="minorHAnsi"/>
                              <w:b/>
                              <w:bCs/>
                              <w:color w:val="595959" w:themeColor="text1" w:themeTint="A6"/>
                              <w:spacing w:val="-5"/>
                              <w:sz w:val="18"/>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17D44B" id="_x0000_t202" coordsize="21600,21600" o:spt="202" path="m,l,21600r21600,l21600,xe">
              <v:stroke joinstyle="miter"/>
              <v:path gradientshapeok="t" o:connecttype="rect"/>
            </v:shapetype>
            <v:shape id="Textbox 367" o:spid="_x0000_s1030" type="#_x0000_t202" style="position:absolute;margin-left:291pt;margin-top:799.5pt;width:28.5pt;height:18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" filled="f" stroked="f">
              <v:textbox inset="0,0,0,0">
                <w:txbxContent>
                  <w:p w14:paraId="779877B5" w14:textId="77777777" w:rsidR="00637E6C" w:rsidRPr="00F258E2" w:rsidRDefault="00637E6C">
                    <w:pPr>
                      <w:spacing w:before="12"/>
                      <w:ind w:left="60"/>
                      <w:rPr>
                        <w:rFonts w:asciiTheme="minorHAnsi" w:hAnsiTheme="minorHAnsi" w:cstheme="minorHAnsi"/>
                        <w:b/>
                        <w:bCs/>
                        <w:color w:val="595959" w:themeColor="text1" w:themeTint="A6"/>
                        <w:sz w:val="18"/>
                        <w:szCs w:val="18"/>
                      </w:rPr>
                    </w:pPr>
                    <w:r w:rsidRPr="00F258E2">
                      <w:rPr>
                        <w:rFonts w:asciiTheme="minorHAnsi" w:hAnsiTheme="minorHAnsi" w:cstheme="minorHAnsi"/>
                        <w:b/>
                        <w:bCs/>
                        <w:color w:val="595959" w:themeColor="text1" w:themeTint="A6"/>
                        <w:spacing w:val="-5"/>
                        <w:sz w:val="18"/>
                        <w:szCs w:val="18"/>
                      </w:rPr>
                      <w:fldChar w:fldCharType="begin"/>
                    </w:r>
                    <w:r w:rsidRPr="00F258E2">
                      <w:rPr>
                        <w:rFonts w:asciiTheme="minorHAnsi" w:hAnsiTheme="minorHAnsi" w:cstheme="minorHAnsi"/>
                        <w:b/>
                        <w:bCs/>
                        <w:color w:val="595959" w:themeColor="text1" w:themeTint="A6"/>
                        <w:spacing w:val="-5"/>
                        <w:sz w:val="18"/>
                        <w:szCs w:val="18"/>
                      </w:rPr>
                      <w:instrText xml:space="preserve"> PAGE </w:instrText>
                    </w:r>
                    <w:r w:rsidRPr="00F258E2">
                      <w:rPr>
                        <w:rFonts w:asciiTheme="minorHAnsi" w:hAnsiTheme="minorHAnsi" w:cstheme="minorHAnsi"/>
                        <w:b/>
                        <w:bCs/>
                        <w:color w:val="595959" w:themeColor="text1" w:themeTint="A6"/>
                        <w:spacing w:val="-5"/>
                        <w:sz w:val="18"/>
                        <w:szCs w:val="18"/>
                      </w:rPr>
                      <w:fldChar w:fldCharType="separate"/>
                    </w:r>
                    <w:r w:rsidRPr="00F258E2">
                      <w:rPr>
                        <w:rFonts w:asciiTheme="minorHAnsi" w:hAnsiTheme="minorHAnsi" w:cstheme="minorHAnsi"/>
                        <w:b/>
                        <w:bCs/>
                        <w:color w:val="595959" w:themeColor="text1" w:themeTint="A6"/>
                        <w:spacing w:val="-5"/>
                        <w:sz w:val="18"/>
                        <w:szCs w:val="18"/>
                      </w:rPr>
                      <w:t>10</w:t>
                    </w:r>
                    <w:r w:rsidRPr="00F258E2">
                      <w:rPr>
                        <w:rFonts w:asciiTheme="minorHAnsi" w:hAnsiTheme="minorHAnsi" w:cstheme="minorHAnsi"/>
                        <w:b/>
                        <w:bCs/>
                        <w:color w:val="595959" w:themeColor="text1" w:themeTint="A6"/>
                        <w:spacing w:val="-5"/>
                        <w:sz w:val="18"/>
                        <w:szCs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6912" behindDoc="1" locked="0" layoutInCell="1" allowOverlap="1" wp14:anchorId="3F824E3F" wp14:editId="5803D623">
              <wp:simplePos x="0" y="0"/>
              <wp:positionH relativeFrom="page">
                <wp:posOffset>613457</wp:posOffset>
              </wp:positionH>
              <wp:positionV relativeFrom="page">
                <wp:posOffset>10185722</wp:posOffset>
              </wp:positionV>
              <wp:extent cx="2627453" cy="26043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453" cy="260430"/>
                      </a:xfrm>
                      <a:prstGeom prst="rect">
                        <a:avLst/>
                      </a:prstGeom>
                    </wps:spPr>
                    <wps:txbx>
                      <w:txbxContent>
                        <w:p w14:paraId="72B8811A" w14:textId="3651341F" w:rsidR="00637E6C" w:rsidRPr="00F258E2" w:rsidRDefault="00637E6C">
                          <w:pPr>
                            <w:spacing w:before="12"/>
                            <w:ind w:left="20"/>
                            <w:rPr>
                              <w:rFonts w:asciiTheme="minorHAnsi" w:hAnsiTheme="minorHAnsi" w:cstheme="minorHAnsi"/>
                              <w:color w:val="E36C0A" w:themeColor="accent6" w:themeShade="BF"/>
                              <w:sz w:val="14"/>
                              <w:szCs w:val="14"/>
                            </w:rPr>
                          </w:pPr>
                          <w:r w:rsidRPr="00F72977">
                            <w:rPr>
                              <w:rFonts w:asciiTheme="minorHAnsi" w:hAnsiTheme="minorHAnsi" w:cstheme="minorHAnsi"/>
                              <w:color w:val="E36C0A" w:themeColor="accent6" w:themeShade="BF"/>
                              <w:sz w:val="14"/>
                              <w:szCs w:val="14"/>
                            </w:rPr>
                            <w:t>American Journal of Applied Science and Technology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F824E3F" id="Textbox 366" o:spid="_x0000_s1031" type="#_x0000_t202" style="position:absolute;margin-left:48.3pt;margin-top:802.05pt;width:206.9pt;height:20.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" filled="f" stroked="f">
              <v:textbox inset="0,0,0,0">
                <w:txbxContent>
                  <w:p w14:paraId="72B8811A" w14:textId="3651341F" w:rsidR="00637E6C" w:rsidRPr="00F258E2" w:rsidRDefault="00637E6C">
                    <w:pPr>
                      <w:spacing w:before="12"/>
                      <w:ind w:left="20"/>
                      <w:rPr>
                        <w:rFonts w:asciiTheme="minorHAnsi" w:hAnsiTheme="minorHAnsi" w:cstheme="minorHAnsi"/>
                        <w:color w:val="E36C0A" w:themeColor="accent6" w:themeShade="BF"/>
                        <w:sz w:val="14"/>
                        <w:szCs w:val="14"/>
                      </w:rPr>
                    </w:pPr>
                    <w:r w:rsidRPr="00F72977">
                      <w:rPr>
                        <w:rFonts w:asciiTheme="minorHAnsi" w:hAnsiTheme="minorHAnsi" w:cstheme="minorHAnsi"/>
                        <w:color w:val="E36C0A" w:themeColor="accent6" w:themeShade="BF"/>
                        <w:sz w:val="14"/>
                        <w:szCs w:val="14"/>
                      </w:rPr>
                      <w:t>American Journal of Applied Science and Technology</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2046C849" wp14:editId="27AEE1AD">
              <wp:simplePos x="0" y="0"/>
              <wp:positionH relativeFrom="page">
                <wp:posOffset>5238750</wp:posOffset>
              </wp:positionH>
              <wp:positionV relativeFrom="page">
                <wp:posOffset>10185400</wp:posOffset>
              </wp:positionV>
              <wp:extent cx="1704340" cy="12700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340" cy="127000"/>
                      </a:xfrm>
                      <a:prstGeom prst="rect">
                        <a:avLst/>
                      </a:prstGeom>
                    </wps:spPr>
                    <wps:txbx>
                      <w:txbxContent>
                        <w:p w14:paraId="2A5CF871" w14:textId="08D5B4B6" w:rsidR="00637E6C" w:rsidRPr="00F258E2" w:rsidRDefault="00637E6C">
                          <w:pPr>
                            <w:spacing w:before="12"/>
                            <w:ind w:left="20"/>
                            <w:rPr>
                              <w:rFonts w:asciiTheme="minorHAnsi" w:hAnsiTheme="minorHAnsi" w:cstheme="minorHAnsi"/>
                              <w:color w:val="E36C0A" w:themeColor="accent6" w:themeShade="BF"/>
                              <w:sz w:val="14"/>
                              <w:szCs w:val="14"/>
                            </w:rPr>
                          </w:pPr>
                          <w:r w:rsidRPr="008356FB">
                            <w:rPr>
                              <w:rFonts w:asciiTheme="minorHAnsi" w:hAnsiTheme="minorHAnsi" w:cstheme="minorHAnsi"/>
                              <w:color w:val="E36C0A" w:themeColor="accent6" w:themeShade="BF"/>
                              <w:sz w:val="14"/>
                              <w:szCs w:val="14"/>
                            </w:rPr>
                            <w:t>https://theusajournals.com/index.php/</w:t>
                          </w:r>
                          <w:r>
                            <w:rPr>
                              <w:rFonts w:asciiTheme="minorHAnsi" w:hAnsiTheme="minorHAnsi" w:cstheme="minorHAnsi"/>
                              <w:color w:val="E36C0A" w:themeColor="accent6" w:themeShade="BF"/>
                              <w:sz w:val="14"/>
                              <w:szCs w:val="14"/>
                            </w:rPr>
                            <w:t>ajast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46C849" id="Textbox 368" o:spid="_x0000_s1032" type="#_x0000_t202" style="position:absolute;margin-left:412.5pt;margin-top:802pt;width:134.2pt;height:10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" filled="f" stroked="f">
              <v:textbox inset="0,0,0,0">
                <w:txbxContent>
                  <w:p w14:paraId="2A5CF871" w14:textId="08D5B4B6" w:rsidR="00637E6C" w:rsidRPr="00F258E2" w:rsidRDefault="00637E6C">
                    <w:pPr>
                      <w:spacing w:before="12"/>
                      <w:ind w:left="20"/>
                      <w:rPr>
                        <w:rFonts w:asciiTheme="minorHAnsi" w:hAnsiTheme="minorHAnsi" w:cstheme="minorHAnsi"/>
                        <w:color w:val="E36C0A" w:themeColor="accent6" w:themeShade="BF"/>
                        <w:sz w:val="14"/>
                        <w:szCs w:val="14"/>
                      </w:rPr>
                    </w:pPr>
                    <w:r w:rsidRPr="008356FB">
                      <w:rPr>
                        <w:rFonts w:asciiTheme="minorHAnsi" w:hAnsiTheme="minorHAnsi" w:cstheme="minorHAnsi"/>
                        <w:color w:val="E36C0A" w:themeColor="accent6" w:themeShade="BF"/>
                        <w:sz w:val="14"/>
                        <w:szCs w:val="14"/>
                      </w:rPr>
                      <w:t>https://theusajournals.com/index.php/</w:t>
                    </w:r>
                    <w:r>
                      <w:rPr>
                        <w:rFonts w:asciiTheme="minorHAnsi" w:hAnsiTheme="minorHAnsi" w:cstheme="minorHAnsi"/>
                        <w:color w:val="E36C0A" w:themeColor="accent6" w:themeShade="BF"/>
                        <w:sz w:val="14"/>
                        <w:szCs w:val="14"/>
                      </w:rPr>
                      <w:t>ajast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6247" w14:textId="77777777" w:rsidR="00342DE5" w:rsidRDefault="00342DE5">
      <w:r>
        <w:separator/>
      </w:r>
    </w:p>
  </w:footnote>
  <w:footnote w:type="continuationSeparator" w:id="0">
    <w:p w14:paraId="10EDAE9D" w14:textId="77777777" w:rsidR="00342DE5" w:rsidRDefault="0034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92F88" w14:textId="46C709E4" w:rsidR="00637E6C" w:rsidRPr="00285C6C" w:rsidRDefault="00637E6C" w:rsidP="00FA1393">
    <w:pPr>
      <w:pStyle w:val="Header"/>
      <w:rPr>
        <w:rFonts w:asciiTheme="minorHAnsi" w:hAnsiTheme="minorHAnsi" w:cstheme="minorHAnsi"/>
        <w:b/>
        <w:bCs/>
      </w:rPr>
    </w:pPr>
    <w:r w:rsidRPr="00F72977">
      <w:rPr>
        <w:rFonts w:asciiTheme="minorHAnsi" w:hAnsiTheme="minorHAnsi" w:cstheme="minorHAnsi"/>
        <w:b/>
        <w:bCs/>
      </w:rPr>
      <w:t>American Journal of Applied Science and Technology (ISSN: 2771-2745)</w:t>
    </w:r>
  </w:p>
  <w:p w14:paraId="3F950264" w14:textId="77777777" w:rsidR="00637E6C" w:rsidRPr="00FA1393" w:rsidRDefault="00637E6C" w:rsidP="00FA1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C6AB6E4"/>
    <w:lvl w:ilvl="0">
      <w:start w:val="1"/>
      <w:numFmt w:val="decimal"/>
      <w:pStyle w:val="Reference"/>
      <w:lvlText w:val="[%1]"/>
      <w:lvlJc w:val="left"/>
      <w:pPr>
        <w:tabs>
          <w:tab w:val="num" w:pos="2336"/>
        </w:tabs>
        <w:ind w:left="2333" w:hanging="357"/>
      </w:pPr>
    </w:lvl>
  </w:abstractNum>
  <w:abstractNum w:abstractNumId="1" w15:restartNumberingAfterBreak="0">
    <w:nsid w:val="212C3D23"/>
    <w:multiLevelType w:val="multilevel"/>
    <w:tmpl w:val="FFFFFFFF"/>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2" w15:restartNumberingAfterBreak="0">
    <w:nsid w:val="214918F0"/>
    <w:multiLevelType w:val="multilevel"/>
    <w:tmpl w:val="FFFFFFFF"/>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3"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5A0942"/>
    <w:multiLevelType w:val="multilevel"/>
    <w:tmpl w:val="FFFFFFFF"/>
    <w:lvl w:ilvl="0">
      <w:start w:val="1"/>
      <w:numFmt w:val="decimal"/>
      <w:lvlText w:val="%1."/>
      <w:lvlJc w:val="left"/>
      <w:pPr>
        <w:ind w:left="720" w:hanging="360"/>
      </w:pPr>
      <w:rPr>
        <w:rFonts w:ascii="Times New Roman" w:hAnsi="Times New Roman"/>
      </w:rPr>
    </w:lvl>
    <w:lvl w:ilvl="1">
      <w:start w:val="1"/>
      <w:numFmt w:val="decimal"/>
      <w:lvlText w:val="%2."/>
      <w:lvlJc w:val="left"/>
      <w:pPr>
        <w:ind w:left="1440" w:hanging="360"/>
      </w:pPr>
      <w:rPr>
        <w:rFonts w:ascii="Times New Roman" w:hAnsi="Times New Roman"/>
      </w:rPr>
    </w:lvl>
    <w:lvl w:ilvl="2">
      <w:start w:val="1"/>
      <w:numFmt w:val="decimal"/>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decimal"/>
      <w:lvlText w:val="%5."/>
      <w:lvlJc w:val="left"/>
      <w:pPr>
        <w:ind w:left="3600" w:hanging="360"/>
      </w:pPr>
      <w:rPr>
        <w:rFonts w:ascii="Times New Roman" w:hAnsi="Times New Roman"/>
      </w:rPr>
    </w:lvl>
    <w:lvl w:ilvl="5">
      <w:start w:val="1"/>
      <w:numFmt w:val="decimal"/>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decimal"/>
      <w:lvlText w:val="%8."/>
      <w:lvlJc w:val="left"/>
      <w:pPr>
        <w:ind w:left="5760" w:hanging="360"/>
      </w:pPr>
      <w:rPr>
        <w:rFonts w:ascii="Times New Roman" w:hAnsi="Times New Roman"/>
      </w:rPr>
    </w:lvl>
    <w:lvl w:ilvl="8">
      <w:start w:val="1"/>
      <w:numFmt w:val="decimal"/>
      <w:lvlText w:val="%9."/>
      <w:lvlJc w:val="left"/>
      <w:pPr>
        <w:ind w:left="6480" w:hanging="360"/>
      </w:pPr>
      <w:rPr>
        <w:rFonts w:ascii="Times New Roman" w:hAnsi="Times New Roman"/>
      </w:rPr>
    </w:lvl>
  </w:abstractNum>
  <w:abstractNum w:abstractNumId="5" w15:restartNumberingAfterBreak="0">
    <w:nsid w:val="3EBE3031"/>
    <w:multiLevelType w:val="hybridMultilevel"/>
    <w:tmpl w:val="F2426F7A"/>
    <w:lvl w:ilvl="0" w:tplc="35F0B164">
      <w:start w:val="1"/>
      <w:numFmt w:val="bullet"/>
      <w:pStyle w:val="ListBullet"/>
      <w:lvlText w:val="-"/>
      <w:lvlJc w:val="left"/>
      <w:pPr>
        <w:tabs>
          <w:tab w:val="num" w:pos="1068"/>
        </w:tabs>
        <w:ind w:left="1068" w:hanging="360"/>
      </w:pPr>
      <w:rPr>
        <w:rFonts w:ascii="Times New Roman" w:hAnsi="Times New Roman" w:cs="Times New Roman" w:hint="default"/>
      </w:rPr>
    </w:lvl>
    <w:lvl w:ilvl="1" w:tplc="05F0080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44EB3930"/>
    <w:multiLevelType w:val="hybridMultilevel"/>
    <w:tmpl w:val="1CFA18D6"/>
    <w:lvl w:ilvl="0" w:tplc="4F68C82A">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33027"/>
    <w:multiLevelType w:val="multilevel"/>
    <w:tmpl w:val="FFFFFFFF"/>
    <w:lvl w:ilvl="0">
      <w:start w:val="1"/>
      <w:numFmt w:val="bullet"/>
      <w:lvlText w:val=""/>
      <w:lvlJc w:val="left"/>
      <w:pPr>
        <w:ind w:left="360" w:hanging="360"/>
      </w:pPr>
      <w:rPr>
        <w:rFonts w:ascii="Symbol" w:hAnsi="Symbol"/>
        <w:sz w:val="20"/>
      </w:rPr>
    </w:lvl>
    <w:lvl w:ilvl="1">
      <w:start w:val="1"/>
      <w:numFmt w:val="bullet"/>
      <w:lvlText w:val="o"/>
      <w:lvlJc w:val="left"/>
      <w:pPr>
        <w:ind w:left="1080" w:hanging="360"/>
      </w:pPr>
      <w:rPr>
        <w:rFonts w:ascii="Courier New" w:hAnsi="Courier New"/>
        <w:sz w:val="20"/>
      </w:rPr>
    </w:lvl>
    <w:lvl w:ilvl="2">
      <w:start w:val="1"/>
      <w:numFmt w:val="bullet"/>
      <w:lvlText w:val=""/>
      <w:lvlJc w:val="left"/>
      <w:pPr>
        <w:ind w:left="1800" w:hanging="360"/>
      </w:pPr>
      <w:rPr>
        <w:rFonts w:ascii="Wingdings" w:hAnsi="Wingdings"/>
        <w:sz w:val="20"/>
      </w:rPr>
    </w:lvl>
    <w:lvl w:ilvl="3">
      <w:start w:val="1"/>
      <w:numFmt w:val="bullet"/>
      <w:lvlText w:val=""/>
      <w:lvlJc w:val="left"/>
      <w:pPr>
        <w:ind w:left="2520" w:hanging="360"/>
      </w:pPr>
      <w:rPr>
        <w:rFonts w:ascii="Wingdings" w:hAnsi="Wingdings"/>
        <w:sz w:val="20"/>
      </w:rPr>
    </w:lvl>
    <w:lvl w:ilvl="4">
      <w:start w:val="1"/>
      <w:numFmt w:val="bullet"/>
      <w:lvlText w:val=""/>
      <w:lvlJc w:val="left"/>
      <w:pPr>
        <w:ind w:left="3240" w:hanging="360"/>
      </w:pPr>
      <w:rPr>
        <w:rFonts w:ascii="Wingdings" w:hAnsi="Wingdings"/>
        <w:sz w:val="20"/>
      </w:rPr>
    </w:lvl>
    <w:lvl w:ilvl="5">
      <w:start w:val="1"/>
      <w:numFmt w:val="bullet"/>
      <w:lvlText w:val=""/>
      <w:lvlJc w:val="left"/>
      <w:pPr>
        <w:ind w:left="3960" w:hanging="360"/>
      </w:pPr>
      <w:rPr>
        <w:rFonts w:ascii="Wingdings" w:hAnsi="Wingdings"/>
        <w:sz w:val="20"/>
      </w:rPr>
    </w:lvl>
    <w:lvl w:ilvl="6">
      <w:start w:val="1"/>
      <w:numFmt w:val="bullet"/>
      <w:lvlText w:val=""/>
      <w:lvlJc w:val="left"/>
      <w:pPr>
        <w:ind w:left="4680" w:hanging="360"/>
      </w:pPr>
      <w:rPr>
        <w:rFonts w:ascii="Wingdings" w:hAnsi="Wingdings"/>
        <w:sz w:val="20"/>
      </w:rPr>
    </w:lvl>
    <w:lvl w:ilvl="7">
      <w:start w:val="1"/>
      <w:numFmt w:val="bullet"/>
      <w:lvlText w:val=""/>
      <w:lvlJc w:val="left"/>
      <w:pPr>
        <w:ind w:left="5400" w:hanging="360"/>
      </w:pPr>
      <w:rPr>
        <w:rFonts w:ascii="Wingdings" w:hAnsi="Wingdings"/>
        <w:sz w:val="20"/>
      </w:rPr>
    </w:lvl>
    <w:lvl w:ilvl="8">
      <w:start w:val="1"/>
      <w:numFmt w:val="bullet"/>
      <w:lvlText w:val=""/>
      <w:lvlJc w:val="left"/>
      <w:pPr>
        <w:ind w:left="6120" w:hanging="360"/>
      </w:pPr>
      <w:rPr>
        <w:rFonts w:ascii="Wingdings" w:hAnsi="Wingdings"/>
        <w:sz w:val="20"/>
      </w:rPr>
    </w:lvl>
  </w:abstractNum>
  <w:abstractNum w:abstractNumId="8" w15:restartNumberingAfterBreak="0">
    <w:nsid w:val="6FA303B0"/>
    <w:multiLevelType w:val="multilevel"/>
    <w:tmpl w:val="FFFFFFFF"/>
    <w:lvl w:ilvl="0">
      <w:start w:val="1"/>
      <w:numFmt w:val="decimal"/>
      <w:lvlText w:val="%1."/>
      <w:lvlJc w:val="left"/>
      <w:pPr>
        <w:ind w:left="720" w:hanging="360"/>
      </w:pPr>
      <w:rPr>
        <w:rFonts w:ascii="Times New Roman" w:hAnsi="Times New Roman"/>
      </w:rPr>
    </w:lvl>
    <w:lvl w:ilvl="1">
      <w:start w:val="1"/>
      <w:numFmt w:val="decimal"/>
      <w:lvlText w:val="%2."/>
      <w:lvlJc w:val="left"/>
      <w:pPr>
        <w:ind w:left="1440" w:hanging="360"/>
      </w:pPr>
      <w:rPr>
        <w:rFonts w:ascii="Times New Roman" w:hAnsi="Times New Roman"/>
      </w:rPr>
    </w:lvl>
    <w:lvl w:ilvl="2">
      <w:start w:val="1"/>
      <w:numFmt w:val="decimal"/>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decimal"/>
      <w:lvlText w:val="%5."/>
      <w:lvlJc w:val="left"/>
      <w:pPr>
        <w:ind w:left="3600" w:hanging="360"/>
      </w:pPr>
      <w:rPr>
        <w:rFonts w:ascii="Times New Roman" w:hAnsi="Times New Roman"/>
      </w:rPr>
    </w:lvl>
    <w:lvl w:ilvl="5">
      <w:start w:val="1"/>
      <w:numFmt w:val="decimal"/>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decimal"/>
      <w:lvlText w:val="%8."/>
      <w:lvlJc w:val="left"/>
      <w:pPr>
        <w:ind w:left="5760" w:hanging="360"/>
      </w:pPr>
      <w:rPr>
        <w:rFonts w:ascii="Times New Roman" w:hAnsi="Times New Roman"/>
      </w:rPr>
    </w:lvl>
    <w:lvl w:ilvl="8">
      <w:start w:val="1"/>
      <w:numFmt w:val="decimal"/>
      <w:lvlText w:val="%9."/>
      <w:lvlJc w:val="left"/>
      <w:pPr>
        <w:ind w:left="6480" w:hanging="360"/>
      </w:pPr>
      <w:rPr>
        <w:rFonts w:ascii="Times New Roman" w:hAnsi="Times New Roman"/>
      </w:rPr>
    </w:lvl>
  </w:abstractNum>
  <w:abstractNum w:abstractNumId="9" w15:restartNumberingAfterBreak="0">
    <w:nsid w:val="76142CF7"/>
    <w:multiLevelType w:val="multilevel"/>
    <w:tmpl w:val="FFFFFFFF"/>
    <w:lvl w:ilvl="0">
      <w:start w:val="1"/>
      <w:numFmt w:val="decimal"/>
      <w:lvlText w:val="%1."/>
      <w:lvlJc w:val="left"/>
      <w:pPr>
        <w:ind w:left="360" w:hanging="360"/>
      </w:pPr>
      <w:rPr>
        <w:rFonts w:ascii="Times New Roman" w:hAnsi="Times New Roman"/>
      </w:rPr>
    </w:lvl>
    <w:lvl w:ilvl="1">
      <w:start w:val="1"/>
      <w:numFmt w:val="decimal"/>
      <w:lvlText w:val="%2."/>
      <w:lvlJc w:val="left"/>
      <w:pPr>
        <w:ind w:left="1080" w:hanging="360"/>
      </w:pPr>
      <w:rPr>
        <w:rFonts w:ascii="Times New Roman" w:hAnsi="Times New Roman"/>
      </w:rPr>
    </w:lvl>
    <w:lvl w:ilvl="2">
      <w:start w:val="1"/>
      <w:numFmt w:val="decimal"/>
      <w:lvlText w:val="%3."/>
      <w:lvlJc w:val="left"/>
      <w:pPr>
        <w:ind w:left="1800" w:hanging="360"/>
      </w:pPr>
      <w:rPr>
        <w:rFonts w:ascii="Times New Roman" w:hAnsi="Times New Roman"/>
      </w:rPr>
    </w:lvl>
    <w:lvl w:ilvl="3">
      <w:start w:val="1"/>
      <w:numFmt w:val="decimal"/>
      <w:lvlText w:val="%4."/>
      <w:lvlJc w:val="left"/>
      <w:pPr>
        <w:ind w:left="2520" w:hanging="360"/>
      </w:pPr>
      <w:rPr>
        <w:rFonts w:ascii="Times New Roman" w:hAnsi="Times New Roman"/>
      </w:rPr>
    </w:lvl>
    <w:lvl w:ilvl="4">
      <w:start w:val="1"/>
      <w:numFmt w:val="decimal"/>
      <w:lvlText w:val="%5."/>
      <w:lvlJc w:val="left"/>
      <w:pPr>
        <w:ind w:left="3240" w:hanging="360"/>
      </w:pPr>
      <w:rPr>
        <w:rFonts w:ascii="Times New Roman" w:hAnsi="Times New Roman"/>
      </w:rPr>
    </w:lvl>
    <w:lvl w:ilvl="5">
      <w:start w:val="1"/>
      <w:numFmt w:val="decimal"/>
      <w:lvlText w:val="%6."/>
      <w:lvlJc w:val="left"/>
      <w:pPr>
        <w:ind w:left="3960" w:hanging="360"/>
      </w:pPr>
      <w:rPr>
        <w:rFonts w:ascii="Times New Roman" w:hAnsi="Times New Roman"/>
      </w:rPr>
    </w:lvl>
    <w:lvl w:ilvl="6">
      <w:start w:val="1"/>
      <w:numFmt w:val="decimal"/>
      <w:lvlText w:val="%7."/>
      <w:lvlJc w:val="left"/>
      <w:pPr>
        <w:ind w:left="4680" w:hanging="360"/>
      </w:pPr>
      <w:rPr>
        <w:rFonts w:ascii="Times New Roman" w:hAnsi="Times New Roman"/>
      </w:rPr>
    </w:lvl>
    <w:lvl w:ilvl="7">
      <w:start w:val="1"/>
      <w:numFmt w:val="decimal"/>
      <w:lvlText w:val="%8."/>
      <w:lvlJc w:val="left"/>
      <w:pPr>
        <w:ind w:left="5400" w:hanging="360"/>
      </w:pPr>
      <w:rPr>
        <w:rFonts w:ascii="Times New Roman" w:hAnsi="Times New Roman"/>
      </w:rPr>
    </w:lvl>
    <w:lvl w:ilvl="8">
      <w:start w:val="1"/>
      <w:numFmt w:val="decimal"/>
      <w:lvlText w:val="%9."/>
      <w:lvlJc w:val="left"/>
      <w:pPr>
        <w:ind w:left="6120" w:hanging="360"/>
      </w:pPr>
      <w:rPr>
        <w:rFonts w:ascii="Times New Roman" w:hAnsi="Times New Roman"/>
      </w:rPr>
    </w:lvl>
  </w:abstractNum>
  <w:abstractNum w:abstractNumId="10" w15:restartNumberingAfterBreak="0">
    <w:nsid w:val="7738779A"/>
    <w:multiLevelType w:val="multilevel"/>
    <w:tmpl w:val="EF205830"/>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A4F691E"/>
    <w:multiLevelType w:val="hybridMultilevel"/>
    <w:tmpl w:val="D7AA3B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D9521C8"/>
    <w:multiLevelType w:val="multilevel"/>
    <w:tmpl w:val="F35CB8F2"/>
    <w:styleLink w:val="referencelist"/>
    <w:lvl w:ilvl="0">
      <w:start w:val="1"/>
      <w:numFmt w:val="decimal"/>
      <w:pStyle w:val="referenceitem"/>
      <w:lvlText w:val="%1."/>
      <w:lvlJc w:val="right"/>
      <w:pPr>
        <w:tabs>
          <w:tab w:val="num" w:pos="114"/>
        </w:tabs>
        <w:ind w:left="114" w:hanging="114"/>
      </w:pPr>
      <w:rPr>
        <w:rFonts w:hint="default"/>
      </w:rPr>
    </w:lvl>
    <w:lvl w:ilvl="1">
      <w:start w:val="1"/>
      <w:numFmt w:val="lowerLetter"/>
      <w:lvlText w:val="%2."/>
      <w:lvlJc w:val="left"/>
      <w:pPr>
        <w:tabs>
          <w:tab w:val="num" w:pos="1669"/>
        </w:tabs>
        <w:ind w:left="1669" w:hanging="360"/>
      </w:pPr>
      <w:rPr>
        <w:rFonts w:hint="default"/>
      </w:rPr>
    </w:lvl>
    <w:lvl w:ilvl="2">
      <w:start w:val="1"/>
      <w:numFmt w:val="lowerRoman"/>
      <w:lvlText w:val="%3."/>
      <w:lvlJc w:val="right"/>
      <w:pPr>
        <w:tabs>
          <w:tab w:val="num" w:pos="2389"/>
        </w:tabs>
        <w:ind w:left="2389" w:hanging="180"/>
      </w:pPr>
      <w:rPr>
        <w:rFonts w:hint="default"/>
      </w:rPr>
    </w:lvl>
    <w:lvl w:ilvl="3">
      <w:start w:val="1"/>
      <w:numFmt w:val="decimal"/>
      <w:lvlText w:val="%4."/>
      <w:lvlJc w:val="left"/>
      <w:pPr>
        <w:tabs>
          <w:tab w:val="num" w:pos="3109"/>
        </w:tabs>
        <w:ind w:left="3109" w:hanging="360"/>
      </w:pPr>
      <w:rPr>
        <w:rFonts w:hint="default"/>
      </w:rPr>
    </w:lvl>
    <w:lvl w:ilvl="4">
      <w:start w:val="1"/>
      <w:numFmt w:val="lowerLetter"/>
      <w:lvlText w:val="%5."/>
      <w:lvlJc w:val="left"/>
      <w:pPr>
        <w:tabs>
          <w:tab w:val="num" w:pos="3829"/>
        </w:tabs>
        <w:ind w:left="3829" w:hanging="360"/>
      </w:pPr>
      <w:rPr>
        <w:rFonts w:hint="default"/>
      </w:rPr>
    </w:lvl>
    <w:lvl w:ilvl="5">
      <w:start w:val="1"/>
      <w:numFmt w:val="lowerRoman"/>
      <w:lvlText w:val="%6."/>
      <w:lvlJc w:val="right"/>
      <w:pPr>
        <w:tabs>
          <w:tab w:val="num" w:pos="4549"/>
        </w:tabs>
        <w:ind w:left="4549" w:hanging="180"/>
      </w:pPr>
      <w:rPr>
        <w:rFonts w:hint="default"/>
      </w:rPr>
    </w:lvl>
    <w:lvl w:ilvl="6">
      <w:start w:val="1"/>
      <w:numFmt w:val="decimal"/>
      <w:lvlText w:val="%7."/>
      <w:lvlJc w:val="left"/>
      <w:pPr>
        <w:tabs>
          <w:tab w:val="num" w:pos="5269"/>
        </w:tabs>
        <w:ind w:left="5269" w:hanging="360"/>
      </w:pPr>
      <w:rPr>
        <w:rFonts w:hint="default"/>
      </w:rPr>
    </w:lvl>
    <w:lvl w:ilvl="7">
      <w:start w:val="1"/>
      <w:numFmt w:val="lowerLetter"/>
      <w:lvlText w:val="%8."/>
      <w:lvlJc w:val="left"/>
      <w:pPr>
        <w:tabs>
          <w:tab w:val="num" w:pos="5989"/>
        </w:tabs>
        <w:ind w:left="5989" w:hanging="360"/>
      </w:pPr>
      <w:rPr>
        <w:rFonts w:hint="default"/>
      </w:rPr>
    </w:lvl>
    <w:lvl w:ilvl="8">
      <w:start w:val="1"/>
      <w:numFmt w:val="lowerRoman"/>
      <w:lvlText w:val="%9."/>
      <w:lvlJc w:val="right"/>
      <w:pPr>
        <w:tabs>
          <w:tab w:val="num" w:pos="6709"/>
        </w:tabs>
        <w:ind w:left="6709" w:hanging="180"/>
      </w:pPr>
      <w:rPr>
        <w:rFonts w:hint="default"/>
      </w:rPr>
    </w:lvl>
  </w:abstractNum>
  <w:num w:numId="1" w16cid:durableId="1000963589">
    <w:abstractNumId w:val="10"/>
    <w:lvlOverride w:ilvl="0">
      <w:lvl w:ilvl="0">
        <w:start w:val="1"/>
        <w:numFmt w:val="decimal"/>
        <w:pStyle w:val="heading1"/>
        <w:lvlText w:val="%1"/>
        <w:lvlJc w:val="left"/>
        <w:pPr>
          <w:tabs>
            <w:tab w:val="num" w:pos="567"/>
          </w:tabs>
          <w:ind w:left="567" w:hanging="567"/>
        </w:pPr>
        <w:rPr>
          <w:rFonts w:hint="default"/>
          <w:b w:val="0"/>
        </w:rPr>
      </w:lvl>
    </w:lvlOverride>
  </w:num>
  <w:num w:numId="2" w16cid:durableId="995651558">
    <w:abstractNumId w:val="10"/>
  </w:num>
  <w:num w:numId="3" w16cid:durableId="494150825">
    <w:abstractNumId w:val="0"/>
  </w:num>
  <w:num w:numId="4" w16cid:durableId="1298873419">
    <w:abstractNumId w:val="3"/>
  </w:num>
  <w:num w:numId="5" w16cid:durableId="603920667">
    <w:abstractNumId w:val="12"/>
    <w:lvlOverride w:ilvl="0">
      <w:lvl w:ilvl="0">
        <w:start w:val="1"/>
        <w:numFmt w:val="decimal"/>
        <w:pStyle w:val="referenceitem"/>
        <w:lvlText w:val="%1."/>
        <w:lvlJc w:val="right"/>
        <w:pPr>
          <w:tabs>
            <w:tab w:val="num" w:pos="114"/>
          </w:tabs>
          <w:ind w:left="114" w:hanging="114"/>
        </w:pPr>
        <w:rPr>
          <w:rFonts w:hint="default"/>
        </w:rPr>
      </w:lvl>
    </w:lvlOverride>
  </w:num>
  <w:num w:numId="6" w16cid:durableId="465123870">
    <w:abstractNumId w:val="12"/>
  </w:num>
  <w:num w:numId="7" w16cid:durableId="1579094279">
    <w:abstractNumId w:val="5"/>
  </w:num>
  <w:num w:numId="8" w16cid:durableId="1986470461">
    <w:abstractNumId w:val="6"/>
  </w:num>
  <w:num w:numId="9" w16cid:durableId="1957518126">
    <w:abstractNumId w:val="9"/>
  </w:num>
  <w:num w:numId="10" w16cid:durableId="784346590">
    <w:abstractNumId w:val="8"/>
  </w:num>
  <w:num w:numId="11" w16cid:durableId="1208227793">
    <w:abstractNumId w:val="2"/>
  </w:num>
  <w:num w:numId="12" w16cid:durableId="1893928500">
    <w:abstractNumId w:val="7"/>
  </w:num>
  <w:num w:numId="13" w16cid:durableId="539123798">
    <w:abstractNumId w:val="1"/>
  </w:num>
  <w:num w:numId="14" w16cid:durableId="518393373">
    <w:abstractNumId w:val="4"/>
  </w:num>
  <w:num w:numId="15" w16cid:durableId="20869565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3A"/>
    <w:rsid w:val="00002FA3"/>
    <w:rsid w:val="0000699E"/>
    <w:rsid w:val="00020B41"/>
    <w:rsid w:val="00026377"/>
    <w:rsid w:val="00070538"/>
    <w:rsid w:val="00073412"/>
    <w:rsid w:val="00077A1A"/>
    <w:rsid w:val="000903E9"/>
    <w:rsid w:val="00094488"/>
    <w:rsid w:val="000A0809"/>
    <w:rsid w:val="000E419E"/>
    <w:rsid w:val="000F2014"/>
    <w:rsid w:val="000F46DD"/>
    <w:rsid w:val="00111BA5"/>
    <w:rsid w:val="00117652"/>
    <w:rsid w:val="00123BD0"/>
    <w:rsid w:val="001342DD"/>
    <w:rsid w:val="00143F6C"/>
    <w:rsid w:val="00147AAF"/>
    <w:rsid w:val="00151715"/>
    <w:rsid w:val="00180F4E"/>
    <w:rsid w:val="0018430E"/>
    <w:rsid w:val="001C3B9E"/>
    <w:rsid w:val="001D3A78"/>
    <w:rsid w:val="001E3B17"/>
    <w:rsid w:val="001E589E"/>
    <w:rsid w:val="0020154B"/>
    <w:rsid w:val="002677FA"/>
    <w:rsid w:val="002829A7"/>
    <w:rsid w:val="00285C6C"/>
    <w:rsid w:val="00292C28"/>
    <w:rsid w:val="0029387D"/>
    <w:rsid w:val="002A625A"/>
    <w:rsid w:val="002C2FB1"/>
    <w:rsid w:val="002C2FFE"/>
    <w:rsid w:val="002D7E7F"/>
    <w:rsid w:val="002E23C8"/>
    <w:rsid w:val="002E7EA4"/>
    <w:rsid w:val="002F08B0"/>
    <w:rsid w:val="002F2B46"/>
    <w:rsid w:val="00310F0C"/>
    <w:rsid w:val="00315F13"/>
    <w:rsid w:val="00316512"/>
    <w:rsid w:val="00316D1D"/>
    <w:rsid w:val="00321025"/>
    <w:rsid w:val="00325FC3"/>
    <w:rsid w:val="0033424E"/>
    <w:rsid w:val="00335BE2"/>
    <w:rsid w:val="003401A1"/>
    <w:rsid w:val="00342DE5"/>
    <w:rsid w:val="00347B03"/>
    <w:rsid w:val="0036361D"/>
    <w:rsid w:val="00366294"/>
    <w:rsid w:val="00372CD3"/>
    <w:rsid w:val="003741C7"/>
    <w:rsid w:val="00377D0C"/>
    <w:rsid w:val="00383747"/>
    <w:rsid w:val="003851D3"/>
    <w:rsid w:val="00394154"/>
    <w:rsid w:val="00395750"/>
    <w:rsid w:val="003A01CF"/>
    <w:rsid w:val="003A55FA"/>
    <w:rsid w:val="003A5CEC"/>
    <w:rsid w:val="003A79DE"/>
    <w:rsid w:val="003B00F2"/>
    <w:rsid w:val="003B5A77"/>
    <w:rsid w:val="003C0052"/>
    <w:rsid w:val="003D3DFE"/>
    <w:rsid w:val="003E27A3"/>
    <w:rsid w:val="00401678"/>
    <w:rsid w:val="004172BD"/>
    <w:rsid w:val="00423DE5"/>
    <w:rsid w:val="00424C82"/>
    <w:rsid w:val="00441B97"/>
    <w:rsid w:val="00451B59"/>
    <w:rsid w:val="00453F79"/>
    <w:rsid w:val="00474DB4"/>
    <w:rsid w:val="00493058"/>
    <w:rsid w:val="004B1BD3"/>
    <w:rsid w:val="004B57D1"/>
    <w:rsid w:val="004D3CFC"/>
    <w:rsid w:val="004D4737"/>
    <w:rsid w:val="004E1392"/>
    <w:rsid w:val="004E2881"/>
    <w:rsid w:val="004E5CAF"/>
    <w:rsid w:val="00521406"/>
    <w:rsid w:val="00531BCF"/>
    <w:rsid w:val="005326C2"/>
    <w:rsid w:val="0053393B"/>
    <w:rsid w:val="00534F4B"/>
    <w:rsid w:val="00544D37"/>
    <w:rsid w:val="00551274"/>
    <w:rsid w:val="0056051E"/>
    <w:rsid w:val="005674BC"/>
    <w:rsid w:val="005761C2"/>
    <w:rsid w:val="00577F8C"/>
    <w:rsid w:val="00580E30"/>
    <w:rsid w:val="00585EB4"/>
    <w:rsid w:val="0059291B"/>
    <w:rsid w:val="00593DE6"/>
    <w:rsid w:val="00596FEF"/>
    <w:rsid w:val="005A3EA4"/>
    <w:rsid w:val="005B1FA6"/>
    <w:rsid w:val="005C2CA5"/>
    <w:rsid w:val="005E08C6"/>
    <w:rsid w:val="005E108B"/>
    <w:rsid w:val="005F1BC0"/>
    <w:rsid w:val="005F1C89"/>
    <w:rsid w:val="005F51B6"/>
    <w:rsid w:val="00615695"/>
    <w:rsid w:val="00615DAA"/>
    <w:rsid w:val="00637E6C"/>
    <w:rsid w:val="00647485"/>
    <w:rsid w:val="00647CBD"/>
    <w:rsid w:val="00672E84"/>
    <w:rsid w:val="00681A96"/>
    <w:rsid w:val="00685D87"/>
    <w:rsid w:val="00687E71"/>
    <w:rsid w:val="00690BD3"/>
    <w:rsid w:val="00695C3A"/>
    <w:rsid w:val="0069770A"/>
    <w:rsid w:val="006A24AD"/>
    <w:rsid w:val="006A4542"/>
    <w:rsid w:val="006A684E"/>
    <w:rsid w:val="006B1605"/>
    <w:rsid w:val="006B2E30"/>
    <w:rsid w:val="006B79B6"/>
    <w:rsid w:val="006C5629"/>
    <w:rsid w:val="006D334D"/>
    <w:rsid w:val="006D4EB0"/>
    <w:rsid w:val="006D6150"/>
    <w:rsid w:val="006E4323"/>
    <w:rsid w:val="006E70EA"/>
    <w:rsid w:val="006F2B6F"/>
    <w:rsid w:val="006F4348"/>
    <w:rsid w:val="007134FF"/>
    <w:rsid w:val="00713CC1"/>
    <w:rsid w:val="007325CC"/>
    <w:rsid w:val="007333CD"/>
    <w:rsid w:val="00740F77"/>
    <w:rsid w:val="00741100"/>
    <w:rsid w:val="007429A2"/>
    <w:rsid w:val="007431FC"/>
    <w:rsid w:val="007464A6"/>
    <w:rsid w:val="00760FB8"/>
    <w:rsid w:val="0076352F"/>
    <w:rsid w:val="00764B8A"/>
    <w:rsid w:val="007655AE"/>
    <w:rsid w:val="00770949"/>
    <w:rsid w:val="00773B98"/>
    <w:rsid w:val="00776B92"/>
    <w:rsid w:val="00785D2C"/>
    <w:rsid w:val="00792D5F"/>
    <w:rsid w:val="007A076A"/>
    <w:rsid w:val="007A712E"/>
    <w:rsid w:val="007B21B4"/>
    <w:rsid w:val="007B734D"/>
    <w:rsid w:val="007C616A"/>
    <w:rsid w:val="007D09CE"/>
    <w:rsid w:val="007D7A60"/>
    <w:rsid w:val="007E2E1B"/>
    <w:rsid w:val="008003EE"/>
    <w:rsid w:val="0080462C"/>
    <w:rsid w:val="008204A9"/>
    <w:rsid w:val="008356FB"/>
    <w:rsid w:val="008500F4"/>
    <w:rsid w:val="00850667"/>
    <w:rsid w:val="008522F7"/>
    <w:rsid w:val="0085672A"/>
    <w:rsid w:val="00862C27"/>
    <w:rsid w:val="00876714"/>
    <w:rsid w:val="00876D2B"/>
    <w:rsid w:val="008816F0"/>
    <w:rsid w:val="00883BB1"/>
    <w:rsid w:val="00890A03"/>
    <w:rsid w:val="0089624A"/>
    <w:rsid w:val="008A143D"/>
    <w:rsid w:val="008A6C73"/>
    <w:rsid w:val="008B28B4"/>
    <w:rsid w:val="008B5D5C"/>
    <w:rsid w:val="008D05F8"/>
    <w:rsid w:val="008D145D"/>
    <w:rsid w:val="008D33B8"/>
    <w:rsid w:val="008E348E"/>
    <w:rsid w:val="008F5DFC"/>
    <w:rsid w:val="0090191D"/>
    <w:rsid w:val="00903666"/>
    <w:rsid w:val="00905069"/>
    <w:rsid w:val="00906D16"/>
    <w:rsid w:val="00915560"/>
    <w:rsid w:val="00915F01"/>
    <w:rsid w:val="00916BFA"/>
    <w:rsid w:val="00933102"/>
    <w:rsid w:val="0094622E"/>
    <w:rsid w:val="00947E85"/>
    <w:rsid w:val="00953633"/>
    <w:rsid w:val="00965CE3"/>
    <w:rsid w:val="00966E2D"/>
    <w:rsid w:val="00973666"/>
    <w:rsid w:val="00975203"/>
    <w:rsid w:val="00975C55"/>
    <w:rsid w:val="009768FF"/>
    <w:rsid w:val="00981F93"/>
    <w:rsid w:val="00984E2E"/>
    <w:rsid w:val="009862F1"/>
    <w:rsid w:val="00992BA4"/>
    <w:rsid w:val="009C5F8B"/>
    <w:rsid w:val="009E2724"/>
    <w:rsid w:val="009E2BA1"/>
    <w:rsid w:val="00A00EF7"/>
    <w:rsid w:val="00A30754"/>
    <w:rsid w:val="00A407A9"/>
    <w:rsid w:val="00A40CD4"/>
    <w:rsid w:val="00A44E55"/>
    <w:rsid w:val="00A463C8"/>
    <w:rsid w:val="00A572DE"/>
    <w:rsid w:val="00A72068"/>
    <w:rsid w:val="00A740B9"/>
    <w:rsid w:val="00AC1BEF"/>
    <w:rsid w:val="00AC528E"/>
    <w:rsid w:val="00AC7F3F"/>
    <w:rsid w:val="00AD2800"/>
    <w:rsid w:val="00AD4483"/>
    <w:rsid w:val="00AD6E15"/>
    <w:rsid w:val="00AF6659"/>
    <w:rsid w:val="00AF7B0E"/>
    <w:rsid w:val="00B031AB"/>
    <w:rsid w:val="00B07E1D"/>
    <w:rsid w:val="00B17A54"/>
    <w:rsid w:val="00B2129E"/>
    <w:rsid w:val="00B30379"/>
    <w:rsid w:val="00B30C4B"/>
    <w:rsid w:val="00B32310"/>
    <w:rsid w:val="00B3479C"/>
    <w:rsid w:val="00B45B37"/>
    <w:rsid w:val="00B613C8"/>
    <w:rsid w:val="00B63449"/>
    <w:rsid w:val="00B660ED"/>
    <w:rsid w:val="00B72606"/>
    <w:rsid w:val="00B9654E"/>
    <w:rsid w:val="00B9697B"/>
    <w:rsid w:val="00B96CD8"/>
    <w:rsid w:val="00BA03C9"/>
    <w:rsid w:val="00BA7E0F"/>
    <w:rsid w:val="00BB5C9C"/>
    <w:rsid w:val="00BB7E7C"/>
    <w:rsid w:val="00BC1E08"/>
    <w:rsid w:val="00BE44CA"/>
    <w:rsid w:val="00BE4738"/>
    <w:rsid w:val="00BF436B"/>
    <w:rsid w:val="00C0326B"/>
    <w:rsid w:val="00C0615C"/>
    <w:rsid w:val="00C06983"/>
    <w:rsid w:val="00C06FC5"/>
    <w:rsid w:val="00C22748"/>
    <w:rsid w:val="00C2380D"/>
    <w:rsid w:val="00C25079"/>
    <w:rsid w:val="00C26759"/>
    <w:rsid w:val="00C53F4B"/>
    <w:rsid w:val="00C55167"/>
    <w:rsid w:val="00C6576A"/>
    <w:rsid w:val="00C706D7"/>
    <w:rsid w:val="00C75B5E"/>
    <w:rsid w:val="00C779E5"/>
    <w:rsid w:val="00C81320"/>
    <w:rsid w:val="00C87F4E"/>
    <w:rsid w:val="00CA52B9"/>
    <w:rsid w:val="00CB00B0"/>
    <w:rsid w:val="00CB45A4"/>
    <w:rsid w:val="00CC1DE5"/>
    <w:rsid w:val="00CC3A23"/>
    <w:rsid w:val="00CC49CE"/>
    <w:rsid w:val="00CD4D18"/>
    <w:rsid w:val="00CE1D77"/>
    <w:rsid w:val="00CE6C29"/>
    <w:rsid w:val="00CF4B60"/>
    <w:rsid w:val="00D051A1"/>
    <w:rsid w:val="00D06C84"/>
    <w:rsid w:val="00D136CF"/>
    <w:rsid w:val="00D169FC"/>
    <w:rsid w:val="00D273AD"/>
    <w:rsid w:val="00D3025C"/>
    <w:rsid w:val="00D412DF"/>
    <w:rsid w:val="00D43659"/>
    <w:rsid w:val="00D473EC"/>
    <w:rsid w:val="00D47942"/>
    <w:rsid w:val="00D51458"/>
    <w:rsid w:val="00D523D6"/>
    <w:rsid w:val="00D61CFE"/>
    <w:rsid w:val="00D61F13"/>
    <w:rsid w:val="00D72857"/>
    <w:rsid w:val="00D76219"/>
    <w:rsid w:val="00D76441"/>
    <w:rsid w:val="00D76A61"/>
    <w:rsid w:val="00D95836"/>
    <w:rsid w:val="00DA3C70"/>
    <w:rsid w:val="00DA504F"/>
    <w:rsid w:val="00DB3534"/>
    <w:rsid w:val="00DC0363"/>
    <w:rsid w:val="00DC1370"/>
    <w:rsid w:val="00DD683F"/>
    <w:rsid w:val="00DF3824"/>
    <w:rsid w:val="00DF4B5A"/>
    <w:rsid w:val="00E07E34"/>
    <w:rsid w:val="00E1141F"/>
    <w:rsid w:val="00E16D2C"/>
    <w:rsid w:val="00E34BC5"/>
    <w:rsid w:val="00E36D6D"/>
    <w:rsid w:val="00E37B85"/>
    <w:rsid w:val="00E4063E"/>
    <w:rsid w:val="00E55E1D"/>
    <w:rsid w:val="00EA0166"/>
    <w:rsid w:val="00EA16BD"/>
    <w:rsid w:val="00EA2E8A"/>
    <w:rsid w:val="00EE780E"/>
    <w:rsid w:val="00EF05DB"/>
    <w:rsid w:val="00EF10C1"/>
    <w:rsid w:val="00EF271D"/>
    <w:rsid w:val="00EF381E"/>
    <w:rsid w:val="00F12844"/>
    <w:rsid w:val="00F22DD4"/>
    <w:rsid w:val="00F258E2"/>
    <w:rsid w:val="00F34664"/>
    <w:rsid w:val="00F420FA"/>
    <w:rsid w:val="00F47F57"/>
    <w:rsid w:val="00F7281A"/>
    <w:rsid w:val="00F72977"/>
    <w:rsid w:val="00F72BC0"/>
    <w:rsid w:val="00F75FBF"/>
    <w:rsid w:val="00F828B9"/>
    <w:rsid w:val="00F96CFC"/>
    <w:rsid w:val="00FA1393"/>
    <w:rsid w:val="00FB15F3"/>
    <w:rsid w:val="00FB4AD5"/>
    <w:rsid w:val="00FD3863"/>
    <w:rsid w:val="00FE02AB"/>
    <w:rsid w:val="00FF0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EAFD"/>
  <w15:docId w15:val="{F0AAD96F-5842-45C9-B39D-1AB1C4A4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0">
    <w:name w:val="heading 1"/>
    <w:basedOn w:val="Normal"/>
    <w:link w:val="Heading1Char"/>
    <w:uiPriority w:val="9"/>
    <w:qFormat/>
    <w:pPr>
      <w:ind w:left="142"/>
      <w:outlineLvl w:val="0"/>
    </w:pPr>
    <w:rPr>
      <w:rFonts w:ascii="Arial MT" w:eastAsia="Arial MT" w:hAnsi="Arial MT" w:cs="Arial MT"/>
      <w:sz w:val="27"/>
      <w:szCs w:val="27"/>
    </w:rPr>
  </w:style>
  <w:style w:type="paragraph" w:styleId="Heading20">
    <w:name w:val="heading 2"/>
    <w:basedOn w:val="Normal"/>
    <w:link w:val="Heading2Char"/>
    <w:uiPriority w:val="9"/>
    <w:unhideWhenUsed/>
    <w:qFormat/>
    <w:pPr>
      <w:ind w:left="142"/>
      <w:jc w:val="both"/>
      <w:outlineLvl w:val="1"/>
    </w:pPr>
    <w:rPr>
      <w:rFonts w:ascii="Arial MT" w:eastAsia="Arial MT" w:hAnsi="Arial MT" w:cs="Arial MT"/>
      <w:sz w:val="24"/>
      <w:szCs w:val="24"/>
    </w:rPr>
  </w:style>
  <w:style w:type="paragraph" w:styleId="Heading3">
    <w:name w:val="heading 3"/>
    <w:basedOn w:val="Normal"/>
    <w:next w:val="Normal"/>
    <w:link w:val="Heading3Char"/>
    <w:uiPriority w:val="9"/>
    <w:unhideWhenUsed/>
    <w:qFormat/>
    <w:rsid w:val="00F828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326C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E1D77"/>
    <w:pPr>
      <w:keepNext/>
      <w:keepLines/>
      <w:widowControl/>
      <w:autoSpaceDE/>
      <w:autoSpaceDN/>
      <w:spacing w:before="40" w:line="259" w:lineRule="auto"/>
      <w:outlineLvl w:val="4"/>
    </w:pPr>
    <w:rPr>
      <w:rFonts w:asciiTheme="majorHAnsi" w:eastAsiaTheme="majorEastAsia" w:hAnsiTheme="majorHAnsi" w:cstheme="majorBidi"/>
      <w:color w:val="365F91" w:themeColor="accent1" w:themeShade="B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326C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E1D77"/>
    <w:rPr>
      <w:rFonts w:asciiTheme="majorHAnsi" w:eastAsiaTheme="majorEastAsia" w:hAnsiTheme="majorHAnsi" w:cstheme="majorBidi"/>
      <w:color w:val="365F91" w:themeColor="accent1" w:themeShade="BF"/>
      <w:lang w:val="ru-RU"/>
    </w:rPr>
  </w:style>
  <w:style w:type="paragraph" w:styleId="BodyText">
    <w:name w:val="Body Text"/>
    <w:basedOn w:val="Normal"/>
    <w:link w:val="BodyTextChar"/>
    <w:qFormat/>
    <w:rPr>
      <w:sz w:val="18"/>
      <w:szCs w:val="18"/>
    </w:rPr>
  </w:style>
  <w:style w:type="paragraph" w:styleId="Title">
    <w:name w:val="Title"/>
    <w:basedOn w:val="Normal"/>
    <w:uiPriority w:val="10"/>
    <w:qFormat/>
    <w:pPr>
      <w:spacing w:before="76"/>
      <w:ind w:left="142" w:right="121"/>
    </w:pPr>
    <w:rPr>
      <w:rFonts w:ascii="Arial MT" w:eastAsia="Arial MT" w:hAnsi="Arial MT" w:cs="Arial MT"/>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6759"/>
    <w:pPr>
      <w:tabs>
        <w:tab w:val="center" w:pos="4513"/>
        <w:tab w:val="right" w:pos="9026"/>
      </w:tabs>
    </w:pPr>
  </w:style>
  <w:style w:type="character" w:customStyle="1" w:styleId="HeaderChar">
    <w:name w:val="Header Char"/>
    <w:basedOn w:val="DefaultParagraphFont"/>
    <w:link w:val="Header"/>
    <w:uiPriority w:val="99"/>
    <w:rsid w:val="00C26759"/>
    <w:rPr>
      <w:rFonts w:ascii="Times New Roman" w:eastAsia="Times New Roman" w:hAnsi="Times New Roman" w:cs="Times New Roman"/>
    </w:rPr>
  </w:style>
  <w:style w:type="paragraph" w:styleId="Footer">
    <w:name w:val="footer"/>
    <w:basedOn w:val="Normal"/>
    <w:link w:val="FooterChar"/>
    <w:uiPriority w:val="99"/>
    <w:unhideWhenUsed/>
    <w:rsid w:val="00C26759"/>
    <w:pPr>
      <w:tabs>
        <w:tab w:val="center" w:pos="4513"/>
        <w:tab w:val="right" w:pos="9026"/>
      </w:tabs>
    </w:pPr>
  </w:style>
  <w:style w:type="character" w:customStyle="1" w:styleId="FooterChar">
    <w:name w:val="Footer Char"/>
    <w:basedOn w:val="DefaultParagraphFont"/>
    <w:link w:val="Footer"/>
    <w:uiPriority w:val="99"/>
    <w:rsid w:val="00C26759"/>
    <w:rPr>
      <w:rFonts w:ascii="Times New Roman" w:eastAsia="Times New Roman" w:hAnsi="Times New Roman" w:cs="Times New Roman"/>
    </w:rPr>
  </w:style>
  <w:style w:type="character" w:styleId="Hyperlink">
    <w:name w:val="Hyperlink"/>
    <w:basedOn w:val="DefaultParagraphFont"/>
    <w:uiPriority w:val="99"/>
    <w:unhideWhenUsed/>
    <w:rsid w:val="00CF4B60"/>
    <w:rPr>
      <w:color w:val="0000FF" w:themeColor="hyperlink"/>
      <w:u w:val="single"/>
    </w:rPr>
  </w:style>
  <w:style w:type="character" w:styleId="UnresolvedMention">
    <w:name w:val="Unresolved Mention"/>
    <w:basedOn w:val="DefaultParagraphFont"/>
    <w:uiPriority w:val="99"/>
    <w:semiHidden/>
    <w:unhideWhenUsed/>
    <w:rsid w:val="00CF4B60"/>
    <w:rPr>
      <w:color w:val="605E5C"/>
      <w:shd w:val="clear" w:color="auto" w:fill="E1DFDD"/>
    </w:rPr>
  </w:style>
  <w:style w:type="paragraph" w:styleId="BalloonText">
    <w:name w:val="Balloon Text"/>
    <w:basedOn w:val="Normal"/>
    <w:link w:val="BalloonTextChar"/>
    <w:uiPriority w:val="99"/>
    <w:semiHidden/>
    <w:unhideWhenUsed/>
    <w:rsid w:val="000069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9E"/>
    <w:rPr>
      <w:rFonts w:ascii="Segoe UI" w:eastAsia="Times New Roman" w:hAnsi="Segoe UI" w:cs="Segoe UI"/>
      <w:sz w:val="18"/>
      <w:szCs w:val="18"/>
    </w:rPr>
  </w:style>
  <w:style w:type="table" w:styleId="GridTable4-Accent1">
    <w:name w:val="Grid Table 4 Accent 1"/>
    <w:basedOn w:val="TableNormal"/>
    <w:uiPriority w:val="49"/>
    <w:rsid w:val="007431FC"/>
    <w:pPr>
      <w:widowControl/>
      <w:autoSpaceDE/>
      <w:autoSpaceDN/>
    </w:pPr>
    <w:rPr>
      <w:rFonts w:eastAsia="Times New Roman" w:cs="Times New Roman"/>
      <w:lang w:val="ru-RU"/>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table" w:styleId="GridTable4-Accent4">
    <w:name w:val="Grid Table 4 Accent 4"/>
    <w:basedOn w:val="TableNormal"/>
    <w:uiPriority w:val="49"/>
    <w:rsid w:val="007431FC"/>
    <w:pPr>
      <w:widowControl/>
      <w:autoSpaceDE/>
      <w:autoSpaceDN/>
    </w:pPr>
    <w:rPr>
      <w:rFonts w:eastAsia="Times New Roman" w:cstheme="minorHAnsi"/>
      <w:lang w:val="ru-RU"/>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leading-8">
    <w:name w:val="leading-8"/>
    <w:basedOn w:val="Normal"/>
    <w:rsid w:val="00A463C8"/>
    <w:pPr>
      <w:widowControl/>
      <w:autoSpaceDE/>
      <w:autoSpaceDN/>
      <w:spacing w:before="100" w:beforeAutospacing="1" w:after="100" w:afterAutospacing="1"/>
    </w:pPr>
    <w:rPr>
      <w:sz w:val="24"/>
      <w:szCs w:val="24"/>
      <w:lang w:val="ru-RU" w:eastAsia="ru-RU"/>
    </w:rPr>
  </w:style>
  <w:style w:type="paragraph" w:styleId="NoSpacing">
    <w:name w:val="No Spacing"/>
    <w:link w:val="NoSpacingChar"/>
    <w:uiPriority w:val="1"/>
    <w:qFormat/>
    <w:rsid w:val="00CE1D77"/>
    <w:pPr>
      <w:widowControl/>
      <w:autoSpaceDE/>
      <w:autoSpaceDN/>
    </w:pPr>
    <w:rPr>
      <w:lang w:val="ru-RU"/>
    </w:rPr>
  </w:style>
  <w:style w:type="character" w:styleId="Strong">
    <w:name w:val="Strong"/>
    <w:basedOn w:val="DefaultParagraphFont"/>
    <w:uiPriority w:val="22"/>
    <w:qFormat/>
    <w:rsid w:val="003851D3"/>
    <w:rPr>
      <w:b/>
      <w:bCs/>
    </w:rPr>
  </w:style>
  <w:style w:type="paragraph" w:styleId="HTMLPreformatted">
    <w:name w:val="HTML Preformatted"/>
    <w:basedOn w:val="Normal"/>
    <w:link w:val="HTMLPreformattedChar"/>
    <w:uiPriority w:val="99"/>
    <w:unhideWhenUsed/>
    <w:rsid w:val="006A24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6A24AD"/>
    <w:rPr>
      <w:rFonts w:ascii="Courier New" w:eastAsia="Times New Roman" w:hAnsi="Courier New" w:cs="Courier New"/>
      <w:sz w:val="20"/>
      <w:szCs w:val="20"/>
      <w:lang w:val="ru-RU" w:eastAsia="ru-RU"/>
    </w:rPr>
  </w:style>
  <w:style w:type="paragraph" w:styleId="NormalWeb">
    <w:name w:val="Normal (Web)"/>
    <w:basedOn w:val="Normal"/>
    <w:link w:val="NormalWebChar"/>
    <w:uiPriority w:val="99"/>
    <w:unhideWhenUsed/>
    <w:rsid w:val="006A24AD"/>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rsid w:val="006A24AD"/>
  </w:style>
  <w:style w:type="character" w:styleId="Emphasis">
    <w:name w:val="Emphasis"/>
    <w:uiPriority w:val="99"/>
    <w:qFormat/>
    <w:rsid w:val="006A24AD"/>
    <w:rPr>
      <w:i/>
      <w:iCs/>
    </w:rPr>
  </w:style>
  <w:style w:type="character" w:customStyle="1" w:styleId="Heading3Char">
    <w:name w:val="Heading 3 Char"/>
    <w:basedOn w:val="DefaultParagraphFont"/>
    <w:link w:val="Heading3"/>
    <w:uiPriority w:val="9"/>
    <w:rsid w:val="00F828B9"/>
    <w:rPr>
      <w:rFonts w:asciiTheme="majorHAnsi" w:eastAsiaTheme="majorEastAsia" w:hAnsiTheme="majorHAnsi" w:cstheme="majorBidi"/>
      <w:color w:val="243F60" w:themeColor="accent1" w:themeShade="7F"/>
      <w:sz w:val="24"/>
      <w:szCs w:val="24"/>
    </w:rPr>
  </w:style>
  <w:style w:type="table" w:customStyle="1" w:styleId="1">
    <w:name w:val="Сетка таблицы1"/>
    <w:basedOn w:val="TableNormal"/>
    <w:next w:val="TableGrid"/>
    <w:uiPriority w:val="39"/>
    <w:rsid w:val="00933102"/>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qFormat/>
    <w:rsid w:val="0093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p1a"/>
    <w:qFormat/>
    <w:rsid w:val="006B2E30"/>
    <w:pPr>
      <w:keepNext/>
      <w:keepLines/>
      <w:widowControl/>
      <w:numPr>
        <w:numId w:val="1"/>
      </w:numPr>
      <w:suppressAutoHyphens/>
      <w:overflowPunct w:val="0"/>
      <w:adjustRightInd w:val="0"/>
      <w:spacing w:before="360" w:after="240" w:line="300" w:lineRule="atLeast"/>
      <w:textAlignment w:val="baseline"/>
      <w:outlineLvl w:val="0"/>
    </w:pPr>
    <w:rPr>
      <w:b/>
      <w:sz w:val="24"/>
      <w:szCs w:val="20"/>
    </w:rPr>
  </w:style>
  <w:style w:type="paragraph" w:customStyle="1" w:styleId="heading2">
    <w:name w:val="heading2"/>
    <w:basedOn w:val="Normal"/>
    <w:next w:val="p1a"/>
    <w:qFormat/>
    <w:rsid w:val="006B2E30"/>
    <w:pPr>
      <w:keepNext/>
      <w:keepLines/>
      <w:widowControl/>
      <w:numPr>
        <w:ilvl w:val="1"/>
        <w:numId w:val="1"/>
      </w:numPr>
      <w:suppressAutoHyphens/>
      <w:overflowPunct w:val="0"/>
      <w:adjustRightInd w:val="0"/>
      <w:spacing w:before="360" w:after="160" w:line="240" w:lineRule="atLeast"/>
      <w:textAlignment w:val="baseline"/>
      <w:outlineLvl w:val="1"/>
    </w:pPr>
    <w:rPr>
      <w:b/>
      <w:sz w:val="20"/>
      <w:szCs w:val="20"/>
    </w:rPr>
  </w:style>
  <w:style w:type="numbering" w:customStyle="1" w:styleId="headings">
    <w:name w:val="headings"/>
    <w:basedOn w:val="NoList"/>
    <w:rsid w:val="006B2E30"/>
    <w:pPr>
      <w:numPr>
        <w:numId w:val="2"/>
      </w:numPr>
    </w:pPr>
  </w:style>
  <w:style w:type="paragraph" w:customStyle="1" w:styleId="p1a">
    <w:name w:val="p1a"/>
    <w:basedOn w:val="Normal"/>
    <w:next w:val="Normal"/>
    <w:link w:val="p1aCar"/>
    <w:uiPriority w:val="99"/>
    <w:rsid w:val="006B2E30"/>
    <w:pPr>
      <w:widowControl/>
      <w:overflowPunct w:val="0"/>
      <w:adjustRightInd w:val="0"/>
      <w:spacing w:line="240" w:lineRule="atLeast"/>
      <w:jc w:val="both"/>
      <w:textAlignment w:val="baseline"/>
    </w:pPr>
    <w:rPr>
      <w:sz w:val="20"/>
      <w:szCs w:val="20"/>
    </w:rPr>
  </w:style>
  <w:style w:type="character" w:customStyle="1" w:styleId="fontstyle01">
    <w:name w:val="fontstyle01"/>
    <w:basedOn w:val="DefaultParagraphFont"/>
    <w:rsid w:val="006B2E30"/>
    <w:rPr>
      <w:rFonts w:ascii="Times New Roman" w:hAnsi="Times New Roman" w:cs="Times New Roman" w:hint="default"/>
      <w:b w:val="0"/>
      <w:bCs w:val="0"/>
      <w:i w:val="0"/>
      <w:iCs w:val="0"/>
      <w:color w:val="000000"/>
      <w:sz w:val="22"/>
      <w:szCs w:val="22"/>
    </w:rPr>
  </w:style>
  <w:style w:type="paragraph" w:customStyle="1" w:styleId="p3">
    <w:name w:val="p3"/>
    <w:basedOn w:val="Normal"/>
    <w:rsid w:val="00316D1D"/>
    <w:pPr>
      <w:widowControl/>
      <w:autoSpaceDE/>
      <w:autoSpaceDN/>
      <w:spacing w:before="100" w:beforeAutospacing="1" w:after="100" w:afterAutospacing="1"/>
    </w:pPr>
    <w:rPr>
      <w:sz w:val="24"/>
      <w:szCs w:val="24"/>
      <w:lang w:eastAsia="ru-RU"/>
    </w:rPr>
  </w:style>
  <w:style w:type="table" w:customStyle="1" w:styleId="TableNormal1">
    <w:name w:val="Table Normal1"/>
    <w:uiPriority w:val="2"/>
    <w:semiHidden/>
    <w:unhideWhenUsed/>
    <w:qFormat/>
    <w:rsid w:val="007A712E"/>
    <w:tblPr>
      <w:tblInd w:w="0" w:type="dxa"/>
      <w:tblCellMar>
        <w:top w:w="0" w:type="dxa"/>
        <w:left w:w="0" w:type="dxa"/>
        <w:bottom w:w="0" w:type="dxa"/>
        <w:right w:w="0" w:type="dxa"/>
      </w:tblCellMar>
    </w:tblPr>
  </w:style>
  <w:style w:type="character" w:customStyle="1" w:styleId="NoSpacingChar">
    <w:name w:val="No Spacing Char"/>
    <w:link w:val="NoSpacing"/>
    <w:uiPriority w:val="1"/>
    <w:locked/>
    <w:rsid w:val="00BE44CA"/>
    <w:rPr>
      <w:lang w:val="ru-RU"/>
    </w:rPr>
  </w:style>
  <w:style w:type="paragraph" w:customStyle="1" w:styleId="MTDisplayEquation">
    <w:name w:val="MTDisplayEquation"/>
    <w:basedOn w:val="Normal"/>
    <w:next w:val="Normal"/>
    <w:link w:val="MTDisplayEquation0"/>
    <w:rsid w:val="00966E2D"/>
    <w:pPr>
      <w:widowControl/>
      <w:tabs>
        <w:tab w:val="center" w:pos="4540"/>
        <w:tab w:val="right" w:pos="9080"/>
      </w:tabs>
      <w:autoSpaceDE/>
      <w:autoSpaceDN/>
      <w:spacing w:line="360" w:lineRule="auto"/>
      <w:ind w:firstLine="709"/>
      <w:jc w:val="both"/>
    </w:pPr>
    <w:rPr>
      <w:rFonts w:eastAsiaTheme="minorHAnsi"/>
      <w:sz w:val="28"/>
      <w:szCs w:val="28"/>
      <w:lang w:val="uz-Latn-UZ"/>
    </w:rPr>
  </w:style>
  <w:style w:type="character" w:customStyle="1" w:styleId="MTDisplayEquation0">
    <w:name w:val="MTDisplayEquation Знак"/>
    <w:basedOn w:val="DefaultParagraphFont"/>
    <w:link w:val="MTDisplayEquation"/>
    <w:rsid w:val="00966E2D"/>
    <w:rPr>
      <w:rFonts w:ascii="Times New Roman" w:hAnsi="Times New Roman" w:cs="Times New Roman"/>
      <w:sz w:val="28"/>
      <w:szCs w:val="28"/>
      <w:lang w:val="uz-Latn-UZ"/>
    </w:rPr>
  </w:style>
  <w:style w:type="character" w:customStyle="1" w:styleId="9pt">
    <w:name w:val="Основной текст + 9 pt"/>
    <w:aliases w:val="Интервал 0 pt93"/>
    <w:basedOn w:val="DefaultParagraphFont"/>
    <w:uiPriority w:val="99"/>
    <w:rsid w:val="006E70EA"/>
    <w:rPr>
      <w:rFonts w:ascii="Times New Roman" w:hAnsi="Times New Roman" w:cs="Times New Roman" w:hint="default"/>
      <w:strike w:val="0"/>
      <w:dstrike w:val="0"/>
      <w:spacing w:val="1"/>
      <w:sz w:val="18"/>
      <w:szCs w:val="18"/>
      <w:u w:val="none"/>
      <w:effect w:val="none"/>
    </w:rPr>
  </w:style>
  <w:style w:type="character" w:customStyle="1" w:styleId="9pt8">
    <w:name w:val="Основной текст + 9 pt8"/>
    <w:aliases w:val="Интервал 0 pt61"/>
    <w:basedOn w:val="DefaultParagraphFont"/>
    <w:uiPriority w:val="99"/>
    <w:rsid w:val="006E70EA"/>
    <w:rPr>
      <w:rFonts w:ascii="Times New Roman" w:hAnsi="Times New Roman" w:cs="Times New Roman" w:hint="default"/>
      <w:spacing w:val="1"/>
      <w:sz w:val="18"/>
      <w:szCs w:val="18"/>
      <w:shd w:val="clear" w:color="auto" w:fill="FFFFFF"/>
    </w:rPr>
  </w:style>
  <w:style w:type="character" w:customStyle="1" w:styleId="0pt">
    <w:name w:val="Основной текст + Интервал 0 pt"/>
    <w:basedOn w:val="DefaultParagraphFont"/>
    <w:uiPriority w:val="99"/>
    <w:rsid w:val="008D33B8"/>
    <w:rPr>
      <w:rFonts w:ascii="Times New Roman" w:hAnsi="Times New Roman" w:cs="Times New Roman" w:hint="default"/>
      <w:spacing w:val="0"/>
      <w:sz w:val="16"/>
      <w:szCs w:val="16"/>
      <w:shd w:val="clear" w:color="auto" w:fill="FFFFFF"/>
    </w:rPr>
  </w:style>
  <w:style w:type="table" w:customStyle="1" w:styleId="28">
    <w:name w:val="Сетка таблицы28"/>
    <w:basedOn w:val="TableNormal"/>
    <w:next w:val="TableGrid"/>
    <w:uiPriority w:val="39"/>
    <w:rsid w:val="00EA16BD"/>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TableNormal"/>
    <w:next w:val="TableGrid"/>
    <w:uiPriority w:val="59"/>
    <w:rsid w:val="00EA16BD"/>
    <w:pPr>
      <w:widowControl/>
      <w:autoSpaceDE/>
      <w:autoSpaceDN/>
    </w:pPr>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TableNormal"/>
    <w:next w:val="TableGrid"/>
    <w:uiPriority w:val="59"/>
    <w:rsid w:val="00EA16BD"/>
    <w:pPr>
      <w:widowControl/>
      <w:autoSpaceDE/>
      <w:autoSpaceDN/>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0"/>
    <w:uiPriority w:val="9"/>
    <w:rsid w:val="00637E6C"/>
    <w:rPr>
      <w:rFonts w:ascii="Arial MT" w:eastAsia="Arial MT" w:hAnsi="Arial MT" w:cs="Arial MT"/>
      <w:sz w:val="27"/>
      <w:szCs w:val="27"/>
    </w:rPr>
  </w:style>
  <w:style w:type="character" w:customStyle="1" w:styleId="Heading2Char">
    <w:name w:val="Heading 2 Char"/>
    <w:basedOn w:val="DefaultParagraphFont"/>
    <w:link w:val="Heading20"/>
    <w:uiPriority w:val="9"/>
    <w:rsid w:val="00637E6C"/>
    <w:rPr>
      <w:rFonts w:ascii="Arial MT" w:eastAsia="Arial MT" w:hAnsi="Arial MT" w:cs="Arial MT"/>
      <w:sz w:val="24"/>
      <w:szCs w:val="24"/>
    </w:rPr>
  </w:style>
  <w:style w:type="paragraph" w:customStyle="1" w:styleId="Affiliation">
    <w:name w:val="Affiliation"/>
    <w:rsid w:val="00637E6C"/>
    <w:pPr>
      <w:widowControl/>
      <w:autoSpaceDE/>
      <w:autoSpaceDN/>
      <w:spacing w:after="120" w:line="228" w:lineRule="auto"/>
      <w:ind w:firstLine="289"/>
      <w:jc w:val="center"/>
    </w:pPr>
    <w:rPr>
      <w:rFonts w:ascii="Times New Roman" w:eastAsia="SimSun" w:hAnsi="Times New Roman" w:cs="Times New Roman"/>
      <w:sz w:val="20"/>
      <w:szCs w:val="20"/>
    </w:rPr>
  </w:style>
  <w:style w:type="paragraph" w:customStyle="1" w:styleId="Author">
    <w:name w:val="Author"/>
    <w:rsid w:val="00637E6C"/>
    <w:pPr>
      <w:widowControl/>
      <w:autoSpaceDE/>
      <w:autoSpaceDN/>
      <w:spacing w:before="360" w:after="40" w:line="228" w:lineRule="auto"/>
      <w:ind w:firstLine="289"/>
      <w:jc w:val="center"/>
    </w:pPr>
    <w:rPr>
      <w:rFonts w:ascii="Times New Roman" w:eastAsia="SimSun" w:hAnsi="Times New Roman" w:cs="Times New Roman"/>
      <w:noProof/>
    </w:rPr>
  </w:style>
  <w:style w:type="paragraph" w:customStyle="1" w:styleId="Articol1">
    <w:name w:val="Articol 1"/>
    <w:basedOn w:val="Normal"/>
    <w:link w:val="Articol1Char"/>
    <w:qFormat/>
    <w:rsid w:val="00637E6C"/>
    <w:pPr>
      <w:widowControl/>
      <w:autoSpaceDE/>
      <w:autoSpaceDN/>
      <w:ind w:firstLine="284"/>
      <w:jc w:val="both"/>
    </w:pPr>
    <w:rPr>
      <w:rFonts w:eastAsia="Calibri"/>
      <w:b/>
      <w:i/>
      <w:sz w:val="18"/>
      <w:szCs w:val="18"/>
      <w:lang w:val="x-none" w:eastAsia="x-none"/>
    </w:rPr>
  </w:style>
  <w:style w:type="character" w:customStyle="1" w:styleId="Articol1Char">
    <w:name w:val="Articol 1 Char"/>
    <w:link w:val="Articol1"/>
    <w:rsid w:val="00637E6C"/>
    <w:rPr>
      <w:rFonts w:ascii="Times New Roman" w:eastAsia="Calibri" w:hAnsi="Times New Roman" w:cs="Times New Roman"/>
      <w:b/>
      <w:i/>
      <w:sz w:val="18"/>
      <w:szCs w:val="18"/>
      <w:lang w:val="x-none" w:eastAsia="x-none"/>
    </w:rPr>
  </w:style>
  <w:style w:type="paragraph" w:styleId="Caption">
    <w:name w:val="caption"/>
    <w:basedOn w:val="Normal"/>
    <w:next w:val="Normal"/>
    <w:qFormat/>
    <w:rsid w:val="00637E6C"/>
    <w:pPr>
      <w:widowControl/>
      <w:autoSpaceDE/>
      <w:autoSpaceDN/>
      <w:spacing w:after="200" w:line="276" w:lineRule="auto"/>
    </w:pPr>
    <w:rPr>
      <w:rFonts w:eastAsia="Calibri"/>
      <w:b/>
      <w:bCs/>
      <w:sz w:val="20"/>
      <w:szCs w:val="20"/>
    </w:rPr>
  </w:style>
  <w:style w:type="paragraph" w:customStyle="1" w:styleId="Listparagraf">
    <w:name w:val="Listă paragraf"/>
    <w:basedOn w:val="Normal"/>
    <w:link w:val="ListparagrafCaracter"/>
    <w:uiPriority w:val="99"/>
    <w:qFormat/>
    <w:rsid w:val="00637E6C"/>
    <w:pPr>
      <w:widowControl/>
      <w:autoSpaceDE/>
      <w:autoSpaceDN/>
      <w:spacing w:after="200" w:line="276" w:lineRule="auto"/>
      <w:ind w:left="720"/>
    </w:pPr>
    <w:rPr>
      <w:rFonts w:eastAsia="Calibri"/>
      <w:sz w:val="24"/>
      <w:lang w:val="x-none" w:eastAsia="x-none"/>
    </w:rPr>
  </w:style>
  <w:style w:type="paragraph" w:styleId="FootnoteText">
    <w:name w:val="footnote text"/>
    <w:basedOn w:val="Normal"/>
    <w:link w:val="FootnoteTextChar"/>
    <w:uiPriority w:val="99"/>
    <w:unhideWhenUsed/>
    <w:rsid w:val="00637E6C"/>
    <w:pPr>
      <w:widowControl/>
      <w:autoSpaceDE/>
      <w:autoSpaceDN/>
      <w:spacing w:after="200" w:line="276" w:lineRule="auto"/>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637E6C"/>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637E6C"/>
    <w:rPr>
      <w:vertAlign w:val="superscript"/>
    </w:rPr>
  </w:style>
  <w:style w:type="character" w:customStyle="1" w:styleId="hps">
    <w:name w:val="hps"/>
    <w:basedOn w:val="DefaultParagraphFont"/>
    <w:rsid w:val="00637E6C"/>
  </w:style>
  <w:style w:type="character" w:customStyle="1" w:styleId="shorttext">
    <w:name w:val="short_text"/>
    <w:basedOn w:val="DefaultParagraphFont"/>
    <w:rsid w:val="00637E6C"/>
  </w:style>
  <w:style w:type="character" w:styleId="FollowedHyperlink">
    <w:name w:val="FollowedHyperlink"/>
    <w:rsid w:val="00637E6C"/>
    <w:rPr>
      <w:color w:val="800080"/>
      <w:u w:val="single"/>
    </w:rPr>
  </w:style>
  <w:style w:type="character" w:customStyle="1" w:styleId="yshortcuts">
    <w:name w:val="yshortcuts"/>
    <w:basedOn w:val="DefaultParagraphFont"/>
    <w:rsid w:val="00637E6C"/>
  </w:style>
  <w:style w:type="character" w:styleId="PageNumber">
    <w:name w:val="page number"/>
    <w:basedOn w:val="DefaultParagraphFont"/>
    <w:rsid w:val="00637E6C"/>
  </w:style>
  <w:style w:type="paragraph" w:customStyle="1" w:styleId="CaracterCaracter7">
    <w:name w:val="Caracter Caracter7"/>
    <w:basedOn w:val="Normal"/>
    <w:rsid w:val="00637E6C"/>
    <w:pPr>
      <w:widowControl/>
      <w:autoSpaceDE/>
      <w:autoSpaceDN/>
    </w:pPr>
    <w:rPr>
      <w:sz w:val="24"/>
      <w:szCs w:val="24"/>
      <w:lang w:val="pl-PL" w:eastAsia="pl-PL"/>
    </w:rPr>
  </w:style>
  <w:style w:type="paragraph" w:customStyle="1" w:styleId="CharCharCharCaracterCaracter">
    <w:name w:val="Char Char Char Caracter Caracter"/>
    <w:basedOn w:val="Normal"/>
    <w:rsid w:val="00637E6C"/>
    <w:pPr>
      <w:widowControl/>
      <w:autoSpaceDE/>
      <w:autoSpaceDN/>
    </w:pPr>
    <w:rPr>
      <w:sz w:val="24"/>
      <w:szCs w:val="24"/>
      <w:lang w:val="pl-PL" w:eastAsia="pl-PL"/>
    </w:rPr>
  </w:style>
  <w:style w:type="character" w:customStyle="1" w:styleId="BodyTextChar">
    <w:name w:val="Body Text Char"/>
    <w:basedOn w:val="DefaultParagraphFont"/>
    <w:link w:val="BodyText"/>
    <w:rsid w:val="00637E6C"/>
    <w:rPr>
      <w:rFonts w:ascii="Times New Roman" w:eastAsia="Times New Roman" w:hAnsi="Times New Roman" w:cs="Times New Roman"/>
      <w:sz w:val="18"/>
      <w:szCs w:val="18"/>
    </w:rPr>
  </w:style>
  <w:style w:type="paragraph" w:customStyle="1" w:styleId="Paragraf">
    <w:name w:val="Paragraf"/>
    <w:basedOn w:val="Normal"/>
    <w:rsid w:val="00637E6C"/>
    <w:pPr>
      <w:adjustRightInd w:val="0"/>
      <w:ind w:firstLine="709"/>
      <w:jc w:val="both"/>
    </w:pPr>
    <w:rPr>
      <w:sz w:val="20"/>
      <w:szCs w:val="20"/>
      <w:lang w:val="en-GB"/>
    </w:rPr>
  </w:style>
  <w:style w:type="character" w:customStyle="1" w:styleId="ListparagrafCaracter">
    <w:name w:val="Listă paragraf Caracter"/>
    <w:link w:val="Listparagraf"/>
    <w:uiPriority w:val="99"/>
    <w:locked/>
    <w:rsid w:val="00637E6C"/>
    <w:rPr>
      <w:rFonts w:ascii="Times New Roman" w:eastAsia="Calibri" w:hAnsi="Times New Roman" w:cs="Times New Roman"/>
      <w:sz w:val="24"/>
      <w:lang w:val="x-none" w:eastAsia="x-none"/>
    </w:rPr>
  </w:style>
  <w:style w:type="character" w:customStyle="1" w:styleId="p1aCar">
    <w:name w:val="p1a Car"/>
    <w:link w:val="p1a"/>
    <w:uiPriority w:val="99"/>
    <w:rsid w:val="00637E6C"/>
    <w:rPr>
      <w:rFonts w:ascii="Times New Roman" w:eastAsia="Times New Roman" w:hAnsi="Times New Roman" w:cs="Times New Roman"/>
      <w:sz w:val="20"/>
      <w:szCs w:val="20"/>
    </w:rPr>
  </w:style>
  <w:style w:type="paragraph" w:customStyle="1" w:styleId="TableCaption">
    <w:name w:val="Table_Caption"/>
    <w:basedOn w:val="Normal"/>
    <w:rsid w:val="00637E6C"/>
    <w:pPr>
      <w:keepNext/>
      <w:widowControl/>
      <w:autoSpaceDE/>
      <w:autoSpaceDN/>
      <w:spacing w:before="240" w:after="120"/>
      <w:jc w:val="center"/>
    </w:pPr>
    <w:rPr>
      <w:sz w:val="20"/>
      <w:szCs w:val="24"/>
      <w:lang w:val="en-GB"/>
    </w:rPr>
  </w:style>
  <w:style w:type="paragraph" w:customStyle="1" w:styleId="HeaderAbs">
    <w:name w:val="Header (Abs."/>
    <w:aliases w:val="Ref.,Ack.)"/>
    <w:basedOn w:val="Heading10"/>
    <w:rsid w:val="00637E6C"/>
    <w:pPr>
      <w:keepNext/>
      <w:widowControl/>
      <w:autoSpaceDE/>
      <w:autoSpaceDN/>
      <w:spacing w:before="240" w:after="240"/>
      <w:ind w:left="0"/>
    </w:pPr>
    <w:rPr>
      <w:rFonts w:ascii="Times New Roman" w:eastAsia="Times New Roman" w:hAnsi="Times New Roman" w:cs="Times New Roman"/>
      <w:b/>
      <w:caps/>
      <w:sz w:val="24"/>
      <w:szCs w:val="20"/>
      <w:lang w:val="x-none" w:eastAsia="x-none"/>
    </w:rPr>
  </w:style>
  <w:style w:type="paragraph" w:customStyle="1" w:styleId="Reference">
    <w:name w:val="Reference"/>
    <w:basedOn w:val="Normal"/>
    <w:rsid w:val="00637E6C"/>
    <w:pPr>
      <w:widowControl/>
      <w:numPr>
        <w:numId w:val="3"/>
      </w:numPr>
      <w:autoSpaceDE/>
      <w:autoSpaceDN/>
      <w:spacing w:after="240"/>
    </w:pPr>
    <w:rPr>
      <w:sz w:val="24"/>
      <w:szCs w:val="20"/>
      <w:lang w:val="en-GB"/>
    </w:rPr>
  </w:style>
  <w:style w:type="character" w:customStyle="1" w:styleId="hpsatn">
    <w:name w:val="hps atn"/>
    <w:basedOn w:val="DefaultParagraphFont"/>
    <w:rsid w:val="00637E6C"/>
  </w:style>
  <w:style w:type="character" w:customStyle="1" w:styleId="MeniuneNerezolvat">
    <w:name w:val="Mențiune Nerezolvat"/>
    <w:uiPriority w:val="99"/>
    <w:semiHidden/>
    <w:unhideWhenUsed/>
    <w:rsid w:val="00637E6C"/>
    <w:rPr>
      <w:color w:val="605E5C"/>
      <w:shd w:val="clear" w:color="auto" w:fill="E1DFDD"/>
    </w:rPr>
  </w:style>
  <w:style w:type="paragraph" w:customStyle="1" w:styleId="equationCharCharChar">
    <w:name w:val="equation Char Char Char"/>
    <w:basedOn w:val="Normal"/>
    <w:link w:val="equationCharCharCharChar"/>
    <w:rsid w:val="00637E6C"/>
    <w:pPr>
      <w:widowControl/>
      <w:tabs>
        <w:tab w:val="center" w:pos="2520"/>
        <w:tab w:val="right" w:pos="5040"/>
      </w:tabs>
      <w:autoSpaceDE/>
      <w:autoSpaceDN/>
      <w:spacing w:before="240" w:after="240" w:line="216" w:lineRule="auto"/>
      <w:jc w:val="center"/>
    </w:pPr>
    <w:rPr>
      <w:rFonts w:ascii="Symbol" w:eastAsia="Calibri" w:hAnsi="Symbol"/>
      <w:lang w:val="x-none" w:eastAsia="x-none"/>
    </w:rPr>
  </w:style>
  <w:style w:type="character" w:customStyle="1" w:styleId="equationCharCharCharChar">
    <w:name w:val="equation Char Char Char Char"/>
    <w:link w:val="equationCharCharChar"/>
    <w:rsid w:val="00637E6C"/>
    <w:rPr>
      <w:rFonts w:ascii="Symbol" w:eastAsia="Calibri" w:hAnsi="Symbol" w:cs="Times New Roman"/>
      <w:lang w:val="x-none" w:eastAsia="x-none"/>
    </w:rPr>
  </w:style>
  <w:style w:type="paragraph" w:customStyle="1" w:styleId="references">
    <w:name w:val="references"/>
    <w:basedOn w:val="Normal"/>
    <w:rsid w:val="00637E6C"/>
    <w:pPr>
      <w:widowControl/>
      <w:overflowPunct w:val="0"/>
      <w:adjustRightInd w:val="0"/>
      <w:spacing w:line="200" w:lineRule="atLeast"/>
      <w:ind w:left="238" w:hanging="238"/>
      <w:jc w:val="both"/>
      <w:textAlignment w:val="baseline"/>
    </w:pPr>
    <w:rPr>
      <w:rFonts w:ascii="Times" w:hAnsi="Times" w:cs="Times"/>
      <w:sz w:val="17"/>
      <w:szCs w:val="20"/>
      <w:lang w:eastAsia="de-DE"/>
    </w:rPr>
  </w:style>
  <w:style w:type="paragraph" w:styleId="EndnoteText">
    <w:name w:val="endnote text"/>
    <w:basedOn w:val="Normal"/>
    <w:link w:val="EndnoteTextChar"/>
    <w:uiPriority w:val="99"/>
    <w:semiHidden/>
    <w:rsid w:val="00637E6C"/>
    <w:pPr>
      <w:widowControl/>
      <w:autoSpaceDE/>
      <w:autoSpaceDN/>
      <w:spacing w:before="240"/>
      <w:jc w:val="both"/>
    </w:pPr>
    <w:rPr>
      <w:rFonts w:ascii="Arial" w:hAnsi="Arial" w:cs="Arial"/>
      <w:sz w:val="24"/>
      <w:szCs w:val="24"/>
      <w:lang w:val="en-GB" w:eastAsia="el-GR"/>
    </w:rPr>
  </w:style>
  <w:style w:type="character" w:customStyle="1" w:styleId="EndnoteTextChar">
    <w:name w:val="Endnote Text Char"/>
    <w:basedOn w:val="DefaultParagraphFont"/>
    <w:link w:val="EndnoteText"/>
    <w:uiPriority w:val="99"/>
    <w:semiHidden/>
    <w:rsid w:val="00637E6C"/>
    <w:rPr>
      <w:rFonts w:ascii="Arial" w:eastAsia="Times New Roman" w:hAnsi="Arial" w:cs="Arial"/>
      <w:sz w:val="24"/>
      <w:szCs w:val="24"/>
      <w:lang w:val="en-GB" w:eastAsia="el-GR"/>
    </w:rPr>
  </w:style>
  <w:style w:type="paragraph" w:styleId="BodyText2">
    <w:name w:val="Body Text 2"/>
    <w:basedOn w:val="Normal"/>
    <w:link w:val="BodyText2Char"/>
    <w:uiPriority w:val="99"/>
    <w:unhideWhenUsed/>
    <w:rsid w:val="00637E6C"/>
    <w:pPr>
      <w:widowControl/>
      <w:autoSpaceDE/>
      <w:autoSpaceDN/>
      <w:spacing w:after="120" w:line="480" w:lineRule="auto"/>
    </w:pPr>
    <w:rPr>
      <w:rFonts w:eastAsia="Calibri"/>
      <w:sz w:val="24"/>
    </w:rPr>
  </w:style>
  <w:style w:type="character" w:customStyle="1" w:styleId="BodyText2Char">
    <w:name w:val="Body Text 2 Char"/>
    <w:basedOn w:val="DefaultParagraphFont"/>
    <w:link w:val="BodyText2"/>
    <w:uiPriority w:val="99"/>
    <w:rsid w:val="00637E6C"/>
    <w:rPr>
      <w:rFonts w:ascii="Times New Roman" w:eastAsia="Calibri" w:hAnsi="Times New Roman" w:cs="Times New Roman"/>
      <w:sz w:val="24"/>
    </w:rPr>
  </w:style>
  <w:style w:type="paragraph" w:customStyle="1" w:styleId="MainText15151">
    <w:name w:val="スタイル スタイル スタイル スタイル MainText + 最初の行 :  1.5 字 + 最初の行 :  1.5 字 + 最初の...1"/>
    <w:basedOn w:val="Normal"/>
    <w:rsid w:val="00637E6C"/>
    <w:pPr>
      <w:autoSpaceDE/>
      <w:autoSpaceDN/>
      <w:spacing w:line="260" w:lineRule="exact"/>
      <w:ind w:firstLineChars="150" w:firstLine="150"/>
      <w:jc w:val="both"/>
    </w:pPr>
    <w:rPr>
      <w:rFonts w:cs="MS Mincho"/>
      <w:kern w:val="2"/>
      <w:sz w:val="24"/>
      <w:szCs w:val="20"/>
      <w:lang w:eastAsia="ja-JP"/>
    </w:rPr>
  </w:style>
  <w:style w:type="paragraph" w:customStyle="1" w:styleId="a">
    <w:name w:val="正文样式"/>
    <w:basedOn w:val="Normal"/>
    <w:qFormat/>
    <w:rsid w:val="00637E6C"/>
    <w:pPr>
      <w:widowControl/>
      <w:tabs>
        <w:tab w:val="left" w:pos="567"/>
      </w:tabs>
      <w:autoSpaceDE/>
      <w:autoSpaceDN/>
      <w:ind w:firstLine="567"/>
      <w:jc w:val="both"/>
    </w:pPr>
    <w:rPr>
      <w:rFonts w:ascii="Cambria" w:eastAsia="SimSun" w:hAnsi="Cambria"/>
      <w:sz w:val="20"/>
      <w:szCs w:val="20"/>
      <w:lang w:val="en-GB"/>
    </w:rPr>
  </w:style>
  <w:style w:type="paragraph" w:customStyle="1" w:styleId="11">
    <w:name w:val="스타일 본  문 + 첫 줄:  1 글자1"/>
    <w:basedOn w:val="Normal"/>
    <w:rsid w:val="00637E6C"/>
    <w:pPr>
      <w:tabs>
        <w:tab w:val="right" w:pos="3969"/>
      </w:tabs>
      <w:autoSpaceDE/>
      <w:autoSpaceDN/>
      <w:adjustRightInd w:val="0"/>
      <w:snapToGrid w:val="0"/>
      <w:spacing w:line="240" w:lineRule="exact"/>
      <w:ind w:firstLineChars="100" w:firstLine="173"/>
      <w:jc w:val="both"/>
    </w:pPr>
    <w:rPr>
      <w:rFonts w:eastAsia="-윤명조120" w:cs="Batang"/>
      <w:snapToGrid w:val="0"/>
      <w:spacing w:val="-3"/>
      <w:sz w:val="19"/>
      <w:szCs w:val="20"/>
      <w:lang w:eastAsia="ja-JP"/>
    </w:rPr>
  </w:style>
  <w:style w:type="paragraph" w:customStyle="1" w:styleId="a0">
    <w:name w:val="그림설명"/>
    <w:basedOn w:val="Normal"/>
    <w:link w:val="Char"/>
    <w:rsid w:val="00637E6C"/>
    <w:pPr>
      <w:autoSpaceDE/>
      <w:autoSpaceDN/>
      <w:adjustRightInd w:val="0"/>
      <w:snapToGrid w:val="0"/>
      <w:spacing w:line="200" w:lineRule="exact"/>
      <w:jc w:val="both"/>
    </w:pPr>
    <w:rPr>
      <w:rFonts w:eastAsia="MS Mincho"/>
      <w:snapToGrid w:val="0"/>
      <w:sz w:val="16"/>
      <w:szCs w:val="20"/>
      <w:lang w:val="x-none" w:eastAsia="ja-JP"/>
    </w:rPr>
  </w:style>
  <w:style w:type="character" w:customStyle="1" w:styleId="Char">
    <w:name w:val="그림설명 Char"/>
    <w:link w:val="a0"/>
    <w:rsid w:val="00637E6C"/>
    <w:rPr>
      <w:rFonts w:ascii="Times New Roman" w:eastAsia="MS Mincho" w:hAnsi="Times New Roman" w:cs="Times New Roman"/>
      <w:snapToGrid w:val="0"/>
      <w:sz w:val="16"/>
      <w:szCs w:val="20"/>
      <w:lang w:val="x-none" w:eastAsia="ja-JP"/>
    </w:rPr>
  </w:style>
  <w:style w:type="paragraph" w:customStyle="1" w:styleId="203">
    <w:name w:val="스타일 제목 2 + 단락 뒤: 0.3 줄"/>
    <w:basedOn w:val="Heading20"/>
    <w:link w:val="203Char"/>
    <w:rsid w:val="00637E6C"/>
    <w:pPr>
      <w:autoSpaceDE/>
      <w:autoSpaceDN/>
      <w:adjustRightInd w:val="0"/>
      <w:snapToGrid w:val="0"/>
      <w:spacing w:afterLines="30" w:after="60"/>
      <w:ind w:left="0"/>
      <w:jc w:val="left"/>
    </w:pPr>
    <w:rPr>
      <w:rFonts w:ascii="Times New Roman" w:eastAsia="MS Mincho" w:hAnsi="Times New Roman" w:cs="Times New Roman"/>
      <w:b/>
      <w:bCs/>
      <w:snapToGrid w:val="0"/>
      <w:sz w:val="20"/>
      <w:szCs w:val="20"/>
      <w:lang w:val="x-none" w:eastAsia="ja-JP"/>
    </w:rPr>
  </w:style>
  <w:style w:type="character" w:customStyle="1" w:styleId="203Char">
    <w:name w:val="스타일 제목 2 + 단락 뒤: 0.3 줄 Char"/>
    <w:link w:val="203"/>
    <w:rsid w:val="00637E6C"/>
    <w:rPr>
      <w:rFonts w:ascii="Times New Roman" w:eastAsia="MS Mincho" w:hAnsi="Times New Roman" w:cs="Times New Roman"/>
      <w:b/>
      <w:bCs/>
      <w:snapToGrid w:val="0"/>
      <w:sz w:val="20"/>
      <w:szCs w:val="20"/>
      <w:lang w:val="x-none" w:eastAsia="ja-JP"/>
    </w:rPr>
  </w:style>
  <w:style w:type="paragraph" w:customStyle="1" w:styleId="a1">
    <w:name w:val="본  문"/>
    <w:basedOn w:val="Normal"/>
    <w:link w:val="Char0"/>
    <w:rsid w:val="00637E6C"/>
    <w:pPr>
      <w:tabs>
        <w:tab w:val="right" w:pos="3969"/>
      </w:tabs>
      <w:autoSpaceDE/>
      <w:autoSpaceDN/>
      <w:adjustRightInd w:val="0"/>
      <w:snapToGrid w:val="0"/>
      <w:spacing w:line="240" w:lineRule="exact"/>
      <w:ind w:firstLineChars="100" w:firstLine="100"/>
      <w:jc w:val="both"/>
    </w:pPr>
    <w:rPr>
      <w:rFonts w:eastAsia="-윤명조120"/>
      <w:snapToGrid w:val="0"/>
      <w:spacing w:val="-3"/>
      <w:sz w:val="19"/>
      <w:szCs w:val="20"/>
      <w:lang w:val="x-none" w:eastAsia="ja-JP"/>
    </w:rPr>
  </w:style>
  <w:style w:type="character" w:customStyle="1" w:styleId="Char0">
    <w:name w:val="본  문 Char"/>
    <w:link w:val="a1"/>
    <w:rsid w:val="00637E6C"/>
    <w:rPr>
      <w:rFonts w:ascii="Times New Roman" w:eastAsia="-윤명조120" w:hAnsi="Times New Roman" w:cs="Times New Roman"/>
      <w:snapToGrid w:val="0"/>
      <w:spacing w:val="-3"/>
      <w:sz w:val="19"/>
      <w:szCs w:val="20"/>
      <w:lang w:val="x-none" w:eastAsia="ja-JP"/>
    </w:rPr>
  </w:style>
  <w:style w:type="paragraph" w:customStyle="1" w:styleId="a2">
    <w:name w:val="同济"/>
    <w:basedOn w:val="Normal"/>
    <w:link w:val="a3"/>
    <w:qFormat/>
    <w:rsid w:val="00637E6C"/>
    <w:pPr>
      <w:autoSpaceDE/>
      <w:autoSpaceDN/>
      <w:spacing w:line="360" w:lineRule="exact"/>
      <w:jc w:val="both"/>
    </w:pPr>
    <w:rPr>
      <w:rFonts w:eastAsia="SimSun"/>
      <w:kern w:val="2"/>
      <w:sz w:val="21"/>
      <w:lang w:val="x-none" w:eastAsia="zh-CN"/>
    </w:rPr>
  </w:style>
  <w:style w:type="character" w:customStyle="1" w:styleId="a3">
    <w:name w:val="同济 字符"/>
    <w:link w:val="a2"/>
    <w:rsid w:val="00637E6C"/>
    <w:rPr>
      <w:rFonts w:ascii="Times New Roman" w:eastAsia="SimSun" w:hAnsi="Times New Roman" w:cs="Times New Roman"/>
      <w:kern w:val="2"/>
      <w:sz w:val="21"/>
      <w:lang w:val="x-none" w:eastAsia="zh-CN"/>
    </w:rPr>
  </w:style>
  <w:style w:type="paragraph" w:customStyle="1" w:styleId="Authornames">
    <w:name w:val="Author names"/>
    <w:basedOn w:val="Normal"/>
    <w:next w:val="Normal"/>
    <w:qFormat/>
    <w:rsid w:val="00637E6C"/>
    <w:pPr>
      <w:widowControl/>
      <w:autoSpaceDE/>
      <w:autoSpaceDN/>
      <w:spacing w:before="240" w:after="160" w:line="360" w:lineRule="auto"/>
    </w:pPr>
    <w:rPr>
      <w:rFonts w:eastAsia="SimSun"/>
      <w:sz w:val="28"/>
      <w:szCs w:val="24"/>
      <w:lang w:val="en-GB" w:eastAsia="en-GB"/>
    </w:rPr>
  </w:style>
  <w:style w:type="paragraph" w:customStyle="1" w:styleId="MDPI31text">
    <w:name w:val="MDPI_3.1_text"/>
    <w:qFormat/>
    <w:rsid w:val="00637E6C"/>
    <w:pPr>
      <w:widowControl/>
      <w:autoSpaceDE/>
      <w:autoSpaceDN/>
      <w:adjustRightInd w:val="0"/>
      <w:snapToGrid w:val="0"/>
      <w:spacing w:after="16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basedOn w:val="MDPI31text"/>
    <w:qFormat/>
    <w:rsid w:val="00637E6C"/>
    <w:pPr>
      <w:spacing w:before="240" w:after="120"/>
      <w:ind w:firstLine="0"/>
      <w:jc w:val="left"/>
      <w:outlineLvl w:val="2"/>
    </w:pPr>
  </w:style>
  <w:style w:type="paragraph" w:customStyle="1" w:styleId="MDPI21heading1">
    <w:name w:val="MDPI_2.1_heading1"/>
    <w:basedOn w:val="MDPI23heading3"/>
    <w:qFormat/>
    <w:rsid w:val="00637E6C"/>
    <w:pPr>
      <w:outlineLvl w:val="0"/>
    </w:pPr>
    <w:rPr>
      <w:b/>
    </w:rPr>
  </w:style>
  <w:style w:type="paragraph" w:customStyle="1" w:styleId="MDPI51figurecaption">
    <w:name w:val="MDPI_5.1_figure_caption"/>
    <w:basedOn w:val="Normal"/>
    <w:qFormat/>
    <w:rsid w:val="00637E6C"/>
    <w:pPr>
      <w:widowControl/>
      <w:autoSpaceDE/>
      <w:autoSpaceDN/>
      <w:adjustRightInd w:val="0"/>
      <w:snapToGrid w:val="0"/>
      <w:spacing w:before="120" w:after="240" w:line="260" w:lineRule="atLeast"/>
      <w:ind w:left="425" w:right="425"/>
      <w:jc w:val="both"/>
    </w:pPr>
    <w:rPr>
      <w:rFonts w:ascii="Palatino Linotype" w:hAnsi="Palatino Linotype"/>
      <w:color w:val="000000"/>
      <w:sz w:val="18"/>
      <w:szCs w:val="20"/>
      <w:lang w:eastAsia="de-DE" w:bidi="en-US"/>
    </w:rPr>
  </w:style>
  <w:style w:type="paragraph" w:customStyle="1" w:styleId="MDPI41tablecaption">
    <w:name w:val="MDPI_4.1_table_caption"/>
    <w:basedOn w:val="Normal"/>
    <w:qFormat/>
    <w:rsid w:val="00637E6C"/>
    <w:pPr>
      <w:widowControl/>
      <w:autoSpaceDE/>
      <w:autoSpaceDN/>
      <w:adjustRightInd w:val="0"/>
      <w:snapToGrid w:val="0"/>
      <w:spacing w:before="240" w:after="120" w:line="260" w:lineRule="atLeast"/>
      <w:ind w:left="425" w:right="425"/>
      <w:jc w:val="both"/>
    </w:pPr>
    <w:rPr>
      <w:rFonts w:ascii="Palatino Linotype" w:hAnsi="Palatino Linotype"/>
      <w:color w:val="000000"/>
      <w:sz w:val="18"/>
      <w:lang w:eastAsia="de-DE" w:bidi="en-US"/>
    </w:rPr>
  </w:style>
  <w:style w:type="paragraph" w:customStyle="1" w:styleId="MDPI62Acknowledgments">
    <w:name w:val="MDPI_6.2_Acknowledgments"/>
    <w:qFormat/>
    <w:rsid w:val="00637E6C"/>
    <w:pPr>
      <w:widowControl/>
      <w:autoSpaceDE/>
      <w:autoSpaceDN/>
      <w:adjustRightInd w:val="0"/>
      <w:snapToGrid w:val="0"/>
      <w:spacing w:before="120" w:after="16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4CoI">
    <w:name w:val="MDPI_6.4_CoI"/>
    <w:basedOn w:val="MDPI62Acknowledgments"/>
    <w:qFormat/>
    <w:rsid w:val="00637E6C"/>
  </w:style>
  <w:style w:type="paragraph" w:customStyle="1" w:styleId="MDPI71References">
    <w:name w:val="MDPI_7.1_References"/>
    <w:basedOn w:val="MDPI62Acknowledgments"/>
    <w:qFormat/>
    <w:rsid w:val="00637E6C"/>
    <w:pPr>
      <w:numPr>
        <w:numId w:val="4"/>
      </w:numPr>
      <w:spacing w:before="0" w:line="260" w:lineRule="atLeast"/>
    </w:pPr>
  </w:style>
  <w:style w:type="paragraph" w:customStyle="1" w:styleId="Normal-noindent">
    <w:name w:val="Normal-no indent"/>
    <w:basedOn w:val="Normal"/>
    <w:next w:val="Normal"/>
    <w:qFormat/>
    <w:rsid w:val="00637E6C"/>
    <w:pPr>
      <w:widowControl/>
      <w:autoSpaceDE/>
      <w:autoSpaceDN/>
      <w:spacing w:after="200" w:line="276" w:lineRule="auto"/>
      <w:jc w:val="both"/>
    </w:pPr>
    <w:rPr>
      <w:sz w:val="20"/>
      <w:szCs w:val="20"/>
    </w:rPr>
  </w:style>
  <w:style w:type="paragraph" w:styleId="NormalIndent">
    <w:name w:val="Normal Indent"/>
    <w:basedOn w:val="Normal"/>
    <w:qFormat/>
    <w:rsid w:val="00637E6C"/>
    <w:pPr>
      <w:widowControl/>
      <w:autoSpaceDE/>
      <w:autoSpaceDN/>
      <w:spacing w:after="200" w:line="276" w:lineRule="auto"/>
      <w:ind w:firstLine="340"/>
      <w:jc w:val="both"/>
    </w:pPr>
    <w:rPr>
      <w:sz w:val="20"/>
      <w:szCs w:val="20"/>
    </w:rPr>
  </w:style>
  <w:style w:type="paragraph" w:customStyle="1" w:styleId="papertitle">
    <w:name w:val="papertitle"/>
    <w:basedOn w:val="Normal"/>
    <w:next w:val="Author"/>
    <w:rsid w:val="00637E6C"/>
    <w:pPr>
      <w:keepNext/>
      <w:keepLines/>
      <w:widowControl/>
      <w:suppressAutoHyphens/>
      <w:overflowPunct w:val="0"/>
      <w:adjustRightInd w:val="0"/>
      <w:spacing w:after="480" w:line="360" w:lineRule="atLeast"/>
      <w:jc w:val="center"/>
      <w:textAlignment w:val="baseline"/>
    </w:pPr>
    <w:rPr>
      <w:b/>
      <w:sz w:val="28"/>
      <w:szCs w:val="20"/>
    </w:rPr>
  </w:style>
  <w:style w:type="paragraph" w:customStyle="1" w:styleId="address">
    <w:name w:val="address"/>
    <w:basedOn w:val="Normal"/>
    <w:rsid w:val="00637E6C"/>
    <w:pPr>
      <w:widowControl/>
      <w:overflowPunct w:val="0"/>
      <w:adjustRightInd w:val="0"/>
      <w:spacing w:after="200" w:line="220" w:lineRule="atLeast"/>
      <w:contextualSpacing/>
      <w:jc w:val="center"/>
      <w:textAlignment w:val="baseline"/>
    </w:pPr>
    <w:rPr>
      <w:sz w:val="18"/>
      <w:szCs w:val="20"/>
    </w:rPr>
  </w:style>
  <w:style w:type="paragraph" w:customStyle="1" w:styleId="author0">
    <w:name w:val="author"/>
    <w:basedOn w:val="Normal"/>
    <w:next w:val="address"/>
    <w:rsid w:val="00637E6C"/>
    <w:pPr>
      <w:widowControl/>
      <w:overflowPunct w:val="0"/>
      <w:adjustRightInd w:val="0"/>
      <w:spacing w:after="200" w:line="220" w:lineRule="atLeast"/>
      <w:jc w:val="center"/>
      <w:textAlignment w:val="baseline"/>
    </w:pPr>
    <w:rPr>
      <w:sz w:val="20"/>
      <w:szCs w:val="20"/>
    </w:rPr>
  </w:style>
  <w:style w:type="character" w:customStyle="1" w:styleId="e-mail">
    <w:name w:val="e-mail"/>
    <w:rsid w:val="00637E6C"/>
    <w:rPr>
      <w:rFonts w:ascii="Courier" w:hAnsi="Courier"/>
      <w:noProof/>
    </w:rPr>
  </w:style>
  <w:style w:type="paragraph" w:customStyle="1" w:styleId="equation">
    <w:name w:val="equation"/>
    <w:basedOn w:val="Normal"/>
    <w:next w:val="Normal"/>
    <w:link w:val="equationChar"/>
    <w:rsid w:val="00637E6C"/>
    <w:pPr>
      <w:widowControl/>
      <w:tabs>
        <w:tab w:val="center" w:pos="3289"/>
        <w:tab w:val="right" w:pos="6917"/>
      </w:tabs>
      <w:overflowPunct w:val="0"/>
      <w:adjustRightInd w:val="0"/>
      <w:spacing w:before="160" w:after="160" w:line="240" w:lineRule="atLeast"/>
      <w:jc w:val="both"/>
      <w:textAlignment w:val="baseline"/>
    </w:pPr>
    <w:rPr>
      <w:sz w:val="20"/>
      <w:szCs w:val="20"/>
    </w:rPr>
  </w:style>
  <w:style w:type="character" w:customStyle="1" w:styleId="equationChar">
    <w:name w:val="equation Char"/>
    <w:link w:val="equation"/>
    <w:rsid w:val="00637E6C"/>
    <w:rPr>
      <w:rFonts w:ascii="Times New Roman" w:eastAsia="Times New Roman" w:hAnsi="Times New Roman" w:cs="Times New Roman"/>
      <w:sz w:val="20"/>
      <w:szCs w:val="20"/>
    </w:rPr>
  </w:style>
  <w:style w:type="character" w:customStyle="1" w:styleId="MTDisplayEquationChar">
    <w:name w:val="MTDisplayEquation Char"/>
    <w:rsid w:val="00637E6C"/>
    <w:rPr>
      <w:rFonts w:ascii="Cambria Math" w:eastAsia="Times New Roman" w:hAnsi="Cambria Math" w:cs="Times New Roman"/>
      <w:i/>
      <w:sz w:val="20"/>
      <w:szCs w:val="20"/>
    </w:rPr>
  </w:style>
  <w:style w:type="paragraph" w:customStyle="1" w:styleId="figurecaption">
    <w:name w:val="figurecaption"/>
    <w:basedOn w:val="Normal"/>
    <w:next w:val="Normal"/>
    <w:rsid w:val="00637E6C"/>
    <w:pPr>
      <w:keepLines/>
      <w:widowControl/>
      <w:overflowPunct w:val="0"/>
      <w:adjustRightInd w:val="0"/>
      <w:spacing w:before="120" w:after="240" w:line="220" w:lineRule="atLeast"/>
      <w:jc w:val="center"/>
      <w:textAlignment w:val="baseline"/>
    </w:pPr>
    <w:rPr>
      <w:sz w:val="18"/>
      <w:szCs w:val="20"/>
    </w:rPr>
  </w:style>
  <w:style w:type="paragraph" w:customStyle="1" w:styleId="referenceitem">
    <w:name w:val="referenceitem"/>
    <w:basedOn w:val="Normal"/>
    <w:rsid w:val="00637E6C"/>
    <w:pPr>
      <w:widowControl/>
      <w:numPr>
        <w:numId w:val="5"/>
      </w:numPr>
      <w:overflowPunct w:val="0"/>
      <w:adjustRightInd w:val="0"/>
      <w:spacing w:line="220" w:lineRule="atLeast"/>
      <w:jc w:val="both"/>
      <w:textAlignment w:val="baseline"/>
    </w:pPr>
    <w:rPr>
      <w:sz w:val="18"/>
      <w:szCs w:val="20"/>
    </w:rPr>
  </w:style>
  <w:style w:type="numbering" w:customStyle="1" w:styleId="referencelist">
    <w:name w:val="referencelist"/>
    <w:basedOn w:val="NoList"/>
    <w:semiHidden/>
    <w:rsid w:val="00637E6C"/>
    <w:pPr>
      <w:numPr>
        <w:numId w:val="6"/>
      </w:numPr>
    </w:pPr>
  </w:style>
  <w:style w:type="character" w:styleId="LineNumber">
    <w:name w:val="line number"/>
    <w:basedOn w:val="DefaultParagraphFont"/>
    <w:uiPriority w:val="99"/>
    <w:semiHidden/>
    <w:unhideWhenUsed/>
    <w:rsid w:val="00637E6C"/>
  </w:style>
  <w:style w:type="character" w:customStyle="1" w:styleId="10">
    <w:name w:val="Неразрешенное упоминание1"/>
    <w:uiPriority w:val="99"/>
    <w:semiHidden/>
    <w:unhideWhenUsed/>
    <w:rsid w:val="00637E6C"/>
    <w:rPr>
      <w:color w:val="605E5C"/>
      <w:shd w:val="clear" w:color="auto" w:fill="E1DFDD"/>
    </w:rPr>
  </w:style>
  <w:style w:type="character" w:customStyle="1" w:styleId="error">
    <w:name w:val="error"/>
    <w:rsid w:val="00637E6C"/>
  </w:style>
  <w:style w:type="character" w:customStyle="1" w:styleId="highlight-moduleako5d">
    <w:name w:val="highlight-module__ako5d"/>
    <w:rsid w:val="00637E6C"/>
  </w:style>
  <w:style w:type="paragraph" w:styleId="ListBullet">
    <w:name w:val="List Bullet"/>
    <w:basedOn w:val="Normal"/>
    <w:rsid w:val="005F1BC0"/>
    <w:pPr>
      <w:widowControl/>
      <w:numPr>
        <w:numId w:val="7"/>
      </w:numPr>
      <w:autoSpaceDE/>
      <w:autoSpaceDN/>
    </w:pPr>
    <w:rPr>
      <w:sz w:val="28"/>
      <w:szCs w:val="24"/>
      <w:lang w:val="ru-RU" w:eastAsia="ru-RU"/>
    </w:rPr>
  </w:style>
  <w:style w:type="table" w:styleId="LightShading">
    <w:name w:val="Light Shading"/>
    <w:basedOn w:val="TableNormal"/>
    <w:uiPriority w:val="60"/>
    <w:rsid w:val="005F1BC0"/>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WebChar">
    <w:name w:val="Normal (Web) Char"/>
    <w:link w:val="NormalWeb"/>
    <w:rsid w:val="003B5A7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2702">
      <w:bodyDiv w:val="1"/>
      <w:marLeft w:val="0"/>
      <w:marRight w:val="0"/>
      <w:marTop w:val="0"/>
      <w:marBottom w:val="0"/>
      <w:divBdr>
        <w:top w:val="none" w:sz="0" w:space="0" w:color="auto"/>
        <w:left w:val="none" w:sz="0" w:space="0" w:color="auto"/>
        <w:bottom w:val="none" w:sz="0" w:space="0" w:color="auto"/>
        <w:right w:val="none" w:sz="0" w:space="0" w:color="auto"/>
      </w:divBdr>
    </w:div>
    <w:div w:id="237176540">
      <w:bodyDiv w:val="1"/>
      <w:marLeft w:val="0"/>
      <w:marRight w:val="0"/>
      <w:marTop w:val="0"/>
      <w:marBottom w:val="0"/>
      <w:divBdr>
        <w:top w:val="none" w:sz="0" w:space="0" w:color="auto"/>
        <w:left w:val="none" w:sz="0" w:space="0" w:color="auto"/>
        <w:bottom w:val="none" w:sz="0" w:space="0" w:color="auto"/>
        <w:right w:val="none" w:sz="0" w:space="0" w:color="auto"/>
      </w:divBdr>
      <w:divsChild>
        <w:div w:id="799571243">
          <w:marLeft w:val="0"/>
          <w:marRight w:val="0"/>
          <w:marTop w:val="0"/>
          <w:marBottom w:val="0"/>
          <w:divBdr>
            <w:top w:val="none" w:sz="0" w:space="0" w:color="auto"/>
            <w:left w:val="none" w:sz="0" w:space="0" w:color="auto"/>
            <w:bottom w:val="none" w:sz="0" w:space="0" w:color="auto"/>
            <w:right w:val="none" w:sz="0" w:space="0" w:color="auto"/>
          </w:divBdr>
        </w:div>
      </w:divsChild>
    </w:div>
    <w:div w:id="903297221">
      <w:bodyDiv w:val="1"/>
      <w:marLeft w:val="0"/>
      <w:marRight w:val="0"/>
      <w:marTop w:val="0"/>
      <w:marBottom w:val="0"/>
      <w:divBdr>
        <w:top w:val="none" w:sz="0" w:space="0" w:color="auto"/>
        <w:left w:val="none" w:sz="0" w:space="0" w:color="auto"/>
        <w:bottom w:val="none" w:sz="0" w:space="0" w:color="auto"/>
        <w:right w:val="none" w:sz="0" w:space="0" w:color="auto"/>
      </w:divBdr>
    </w:div>
    <w:div w:id="1976716724">
      <w:bodyDiv w:val="1"/>
      <w:marLeft w:val="0"/>
      <w:marRight w:val="0"/>
      <w:marTop w:val="0"/>
      <w:marBottom w:val="0"/>
      <w:divBdr>
        <w:top w:val="none" w:sz="0" w:space="0" w:color="auto"/>
        <w:left w:val="none" w:sz="0" w:space="0" w:color="auto"/>
        <w:bottom w:val="none" w:sz="0" w:space="0" w:color="auto"/>
        <w:right w:val="none" w:sz="0" w:space="0" w:color="auto"/>
      </w:divBdr>
    </w:div>
    <w:div w:id="210325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58255092_Opportunities_for_neuromorphic_computing_algorithms_and_applications" TargetMode="External"/><Relationship Id="rId18" Type="http://schemas.openxmlformats.org/officeDocument/2006/relationships/hyperlink" Target="https://www.princeton.edu/~nverma/VermaLabSite/Publications/2017/ZhangWangVerma_JSSC20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ersonales.upv.es/thinkmind/dl/conferences/cloudcomputing/cloud_computing_2021/cloud_computing_2021_3_10_20011.pdf" TargetMode="External"/><Relationship Id="rId7" Type="http://schemas.openxmlformats.org/officeDocument/2006/relationships/endnotes" Target="endnotes.xml"/><Relationship Id="rId12" Type="http://schemas.openxmlformats.org/officeDocument/2006/relationships/hyperlink" Target="https://arxiv.org/pdf/1908.11348" TargetMode="External"/><Relationship Id="rId17" Type="http://schemas.openxmlformats.org/officeDocument/2006/relationships/hyperlink" Target="https://doi.org/10.51470/eSL.2023.4.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huawei.com/au/blogs/storage/2023/storage-architecture-ai-model" TargetMode="External"/><Relationship Id="rId20" Type="http://schemas.openxmlformats.org/officeDocument/2006/relationships/hyperlink" Target="https://www.usenix.org/system/files/conference/hotcloud15/hotcloud15-m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rxiv.org/pdf/1802.04799" TargetMode="External"/><Relationship Id="rId5" Type="http://schemas.openxmlformats.org/officeDocument/2006/relationships/webSettings" Target="webSettings.xml"/><Relationship Id="rId15" Type="http://schemas.openxmlformats.org/officeDocument/2006/relationships/hyperlink" Target="https://doi.org/10.51470/bits.2022.01.02.08" TargetMode="External"/><Relationship Id="rId23" Type="http://schemas.openxmlformats.org/officeDocument/2006/relationships/hyperlink" Target="https://arxiv.org/pdf/2006.15704" TargetMode="External"/><Relationship Id="rId10" Type="http://schemas.openxmlformats.org/officeDocument/2006/relationships/header" Target="header1.xml"/><Relationship Id="rId19" Type="http://schemas.openxmlformats.org/officeDocument/2006/relationships/hyperlink" Target="https://www.researchgate.net/publication/47636665_OpenCL_A_Parallel_Programming_Standard_for_Heterogeneous_Computing_Syste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51470/BITS.2022.01.02.08" TargetMode="External"/><Relationship Id="rId22" Type="http://schemas.openxmlformats.org/officeDocument/2006/relationships/hyperlink" Target="https://www.researching.cn/ArticlePdf/m00098/2020/41/2/020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3A36-865A-413A-BD27-00BC58931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5828</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MDCI</dc:creator>
  <cp:keywords>acoustofluidics, capillary waves, capillary wave turbulence, zakharov-kolmogorov turbulence, nonlinear resonance broadening, faraday waves, atomization</cp:keywords>
  <cp:lastModifiedBy>Sachin Patidar</cp:lastModifiedBy>
  <cp:revision>5</cp:revision>
  <cp:lastPrinted>2025-11-26T09:51:00Z</cp:lastPrinted>
  <dcterms:created xsi:type="dcterms:W3CDTF">2025-11-26T09:51:00Z</dcterms:created>
  <dcterms:modified xsi:type="dcterms:W3CDTF">2025-11-26T11:00:00Z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Arbortext Advanced Print Publisher 9.1.510/W Unicode</vt:lpwstr>
  </property>
  <property fmtid="{D5CDD505-2E9C-101B-9397-08002B2CF9AE}" pid="4" name="LastSaved">
    <vt:filetime>2025-01-01T00:00:00Z</vt:filetime>
  </property>
  <property fmtid="{D5CDD505-2E9C-101B-9397-08002B2CF9AE}" pid="5" name="Producer">
    <vt:lpwstr>Acrobat Distiller 7.0 (Windows)</vt:lpwstr>
  </property>
</Properties>
</file>